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893" w:rsidRPr="00531BCA" w:rsidRDefault="00B00893" w:rsidP="00A7417B">
      <w:pPr>
        <w:spacing w:after="120"/>
        <w:outlineLvl w:val="0"/>
        <w:rPr>
          <w:rFonts w:ascii="Times New Roman" w:hAnsi="Times New Roman" w:cs="Times New Roman"/>
          <w:b/>
        </w:rPr>
      </w:pPr>
      <w:bookmarkStart w:id="0" w:name="_GoBack"/>
      <w:bookmarkEnd w:id="0"/>
      <w:r w:rsidRPr="00531BCA">
        <w:rPr>
          <w:rFonts w:ascii="Times New Roman" w:hAnsi="Times New Roman" w:cs="Times New Roman"/>
          <w:b/>
        </w:rPr>
        <w:t>Abstract</w:t>
      </w:r>
    </w:p>
    <w:p w:rsidR="00B00893" w:rsidRPr="00531BCA" w:rsidRDefault="00B00893" w:rsidP="00FE49C3">
      <w:pPr>
        <w:spacing w:after="120"/>
        <w:outlineLvl w:val="0"/>
        <w:rPr>
          <w:rFonts w:ascii="Times New Roman" w:hAnsi="Times New Roman" w:cs="Times New Roman"/>
        </w:rPr>
      </w:pPr>
      <w:r w:rsidRPr="00531BCA">
        <w:rPr>
          <w:rFonts w:ascii="Times New Roman" w:hAnsi="Times New Roman" w:cs="Times New Roman"/>
        </w:rPr>
        <w:t>The effectiveness of protected areas at achieving nature conservation goals varies widely, but the reasons for this variation are understudied. We argue that an important, but often neglected, factor is the history of institutional development that pre-dates protected area establishment. Through a comparative analysis of pathways of institutional development in Calakmul and Maya Biosphere Reserves, internationally adjoining protected areas in Mexico and Guatemala, we demonstrate that differences in farmer and community-level conservation behavior between the two reserves are the result of differences in land tenure systems that pre-date reserve establishment. Differences in land tenure systems resulted in a lower population density, greater tenure security, and greater economic and political equality in the Calakmul Biosphere Reserve. All of these factors influenced farmers and communities in the Calakmul Biosphere Reserve to have more favorable attitudes towards conservation, conserve more forest on both individual and community managed land, and to create more conservation reserves on both land types. These differences are rooted in the system of land distribution and political organization during the 1970s and 1980s, before protected area establishment, when both areas were agricultural frontiers. As a result of these political processes that pre-date reserve creation, farmers and communities in Calakmul hold more land and hold it more equitably, have less access to surplus labor for expanding commercial production, and have a political system that shares benefits from forest conservation more equitably when compared to Maya. Our work highlights the value of understanding historical political and institutional conditions in the design and development of effective protected areas. Protected areas located in areas with greater economic and political equality may be more effective at conserving nature.</w:t>
      </w:r>
    </w:p>
    <w:p w:rsidR="00B00893" w:rsidRPr="00531BCA" w:rsidRDefault="00B00893" w:rsidP="00155AC9">
      <w:pPr>
        <w:spacing w:after="120"/>
        <w:jc w:val="both"/>
        <w:rPr>
          <w:rFonts w:ascii="Times New Roman" w:hAnsi="Times New Roman" w:cs="Times New Roman"/>
        </w:rPr>
      </w:pPr>
    </w:p>
    <w:p w:rsidR="00B00893" w:rsidRPr="00531BCA" w:rsidRDefault="00B00893" w:rsidP="00155AC9">
      <w:pPr>
        <w:spacing w:after="120"/>
        <w:jc w:val="both"/>
        <w:rPr>
          <w:rFonts w:ascii="Times New Roman" w:hAnsi="Times New Roman" w:cs="Times New Roman"/>
          <w:b/>
        </w:rPr>
      </w:pPr>
      <w:r w:rsidRPr="00531BCA">
        <w:rPr>
          <w:rFonts w:ascii="Times New Roman" w:hAnsi="Times New Roman" w:cs="Times New Roman"/>
          <w:b/>
        </w:rPr>
        <w:t>Highlights</w:t>
      </w:r>
    </w:p>
    <w:p w:rsidR="00B00893" w:rsidRPr="00531BCA" w:rsidRDefault="00B00893" w:rsidP="004E5401">
      <w:pPr>
        <w:pStyle w:val="ListParagraph"/>
        <w:numPr>
          <w:ilvl w:val="0"/>
          <w:numId w:val="3"/>
        </w:numPr>
        <w:spacing w:after="120"/>
        <w:jc w:val="both"/>
        <w:rPr>
          <w:rFonts w:ascii="Times New Roman" w:hAnsi="Times New Roman" w:cs="Times New Roman"/>
          <w:b/>
        </w:rPr>
      </w:pPr>
      <w:r w:rsidRPr="00531BCA">
        <w:rPr>
          <w:rFonts w:ascii="Times New Roman" w:hAnsi="Times New Roman" w:cs="Times New Roman"/>
        </w:rPr>
        <w:t>Differential effectiveness of protected areas is the result of preexisting political and economic conditions</w:t>
      </w:r>
    </w:p>
    <w:p w:rsidR="00B00893" w:rsidRPr="00531BCA" w:rsidRDefault="00B00893" w:rsidP="004E5401">
      <w:pPr>
        <w:pStyle w:val="ListParagraph"/>
        <w:numPr>
          <w:ilvl w:val="0"/>
          <w:numId w:val="3"/>
        </w:numPr>
        <w:spacing w:after="120"/>
        <w:jc w:val="both"/>
        <w:rPr>
          <w:rFonts w:ascii="Times New Roman" w:hAnsi="Times New Roman" w:cs="Times New Roman"/>
          <w:b/>
        </w:rPr>
      </w:pPr>
      <w:r w:rsidRPr="00531BCA">
        <w:rPr>
          <w:rFonts w:ascii="Times New Roman" w:hAnsi="Times New Roman" w:cs="Times New Roman"/>
        </w:rPr>
        <w:t>Protected areas which have greater levels of economic and political equality may be more effective at nature conservation.</w:t>
      </w:r>
    </w:p>
    <w:p w:rsidR="00B00893" w:rsidRPr="00531BCA" w:rsidRDefault="00B00893" w:rsidP="004E5401">
      <w:pPr>
        <w:pStyle w:val="ListParagraph"/>
        <w:numPr>
          <w:ilvl w:val="0"/>
          <w:numId w:val="3"/>
        </w:numPr>
        <w:spacing w:after="120"/>
        <w:jc w:val="both"/>
        <w:rPr>
          <w:rFonts w:ascii="Times New Roman" w:hAnsi="Times New Roman" w:cs="Times New Roman"/>
          <w:b/>
        </w:rPr>
      </w:pPr>
      <w:bookmarkStart w:id="1" w:name="_Hlk499243148"/>
      <w:r w:rsidRPr="00531BCA">
        <w:rPr>
          <w:rFonts w:ascii="Times New Roman" w:hAnsi="Times New Roman" w:cs="Times New Roman"/>
        </w:rPr>
        <w:t>Developing effective conservation plans requires understanding the historical development of local political institutions</w:t>
      </w:r>
      <w:bookmarkEnd w:id="1"/>
    </w:p>
    <w:p w:rsidR="00B00893" w:rsidRPr="00531BCA" w:rsidRDefault="00B00893" w:rsidP="00155AC9">
      <w:pPr>
        <w:spacing w:after="120"/>
        <w:jc w:val="both"/>
        <w:rPr>
          <w:rFonts w:ascii="Times New Roman" w:hAnsi="Times New Roman" w:cs="Times New Roman"/>
          <w:b/>
        </w:rPr>
      </w:pPr>
    </w:p>
    <w:p w:rsidR="00B00893" w:rsidRPr="00531BCA" w:rsidRDefault="00B00893" w:rsidP="00155AC9">
      <w:pPr>
        <w:spacing w:after="120"/>
        <w:jc w:val="both"/>
        <w:rPr>
          <w:rFonts w:ascii="Times New Roman" w:hAnsi="Times New Roman" w:cs="Times New Roman"/>
        </w:rPr>
      </w:pPr>
      <w:r w:rsidRPr="00531BCA">
        <w:rPr>
          <w:rFonts w:ascii="Times New Roman" w:hAnsi="Times New Roman" w:cs="Times New Roman"/>
          <w:b/>
        </w:rPr>
        <w:t>Keywords</w:t>
      </w:r>
    </w:p>
    <w:p w:rsidR="00B00893" w:rsidRPr="00531BCA" w:rsidRDefault="00B00893">
      <w:pPr>
        <w:rPr>
          <w:rFonts w:ascii="Times New Roman" w:hAnsi="Times New Roman" w:cs="Times New Roman"/>
          <w:b/>
        </w:rPr>
      </w:pPr>
      <w:r w:rsidRPr="00531BCA">
        <w:rPr>
          <w:rFonts w:ascii="Times New Roman" w:hAnsi="Times New Roman" w:cs="Times New Roman"/>
          <w:b/>
        </w:rPr>
        <w:t>Protected areas; conservation; governance; institutions; Mexico; Guatemala</w:t>
      </w:r>
      <w:r w:rsidRPr="00531BCA">
        <w:rPr>
          <w:rFonts w:ascii="Times New Roman" w:hAnsi="Times New Roman" w:cs="Times New Roman"/>
          <w:b/>
        </w:rPr>
        <w:br w:type="page"/>
      </w:r>
    </w:p>
    <w:p w:rsidR="00B00893" w:rsidRPr="00531BCA" w:rsidRDefault="00B00893" w:rsidP="00A7417B">
      <w:pPr>
        <w:spacing w:after="120"/>
        <w:outlineLvl w:val="0"/>
        <w:rPr>
          <w:rFonts w:ascii="Times New Roman" w:hAnsi="Times New Roman" w:cs="Times New Roman"/>
          <w:b/>
        </w:rPr>
      </w:pPr>
      <w:r w:rsidRPr="00531BCA">
        <w:rPr>
          <w:rFonts w:ascii="Times New Roman" w:hAnsi="Times New Roman" w:cs="Times New Roman"/>
          <w:b/>
        </w:rPr>
        <w:lastRenderedPageBreak/>
        <w:t>1. INTRODUCTION</w:t>
      </w:r>
    </w:p>
    <w:p w:rsidR="00B00893" w:rsidRPr="00531BCA" w:rsidRDefault="00B00893" w:rsidP="009904D6">
      <w:pPr>
        <w:spacing w:after="120"/>
        <w:ind w:firstLine="720"/>
        <w:jc w:val="both"/>
        <w:rPr>
          <w:rFonts w:ascii="Times New Roman" w:hAnsi="Times New Roman" w:cs="Times New Roman"/>
        </w:rPr>
      </w:pPr>
      <w:r w:rsidRPr="00531BCA">
        <w:rPr>
          <w:rFonts w:ascii="Times New Roman" w:hAnsi="Times New Roman" w:cs="Times New Roman"/>
        </w:rPr>
        <w:t xml:space="preserve">A growing body of evidence demonstrates that many protected areas are not effective at protecting the ecosystems within their borders, and some are merely “paper parks” </w:t>
      </w:r>
      <w:r>
        <w:rPr>
          <w:rFonts w:ascii="Times New Roman" w:hAnsi="Times New Roman" w:cs="Times New Roman"/>
          <w:noProof/>
        </w:rPr>
        <w:t>(Andam et al., 2013; Andam et al., 2008; Andam et al., 2010; Bhola et al., 2016; Brandon et al., 1998; Bruner et al., 2001; Hayes, 2006; Hayes and Ostrom, 2005; Laurance et al., 2012; Naughton-Treves et al., 2005; Porter-Bolland et al., 2012; Ruiz-Mallén et al., 2015)</w:t>
      </w:r>
      <w:r w:rsidRPr="00531BCA">
        <w:rPr>
          <w:rFonts w:ascii="Times New Roman" w:hAnsi="Times New Roman" w:cs="Times New Roman"/>
        </w:rPr>
        <w:t xml:space="preserve">. Recent attempts to analyze the reasons for the success or failure of protected areas are limited. Government protected area managers report that they lack sufficient funding and are hampered by broader governance failures within the societies they operate </w:t>
      </w:r>
      <w:r>
        <w:rPr>
          <w:rFonts w:ascii="Times New Roman" w:hAnsi="Times New Roman" w:cs="Times New Roman"/>
          <w:noProof/>
        </w:rPr>
        <w:t>(Bruner et al., 2001; Di Minin and Toivonen, 2015; Leverington et al., 2010; Watson et al., 2014)</w:t>
      </w:r>
      <w:r w:rsidRPr="00531BCA">
        <w:rPr>
          <w:rFonts w:ascii="Times New Roman" w:hAnsi="Times New Roman" w:cs="Times New Roman"/>
        </w:rPr>
        <w:t xml:space="preserve">. But the effectiveness of protected areas varies even when political and economic conditions appear constant, implying that this answer is at best incomplete. Yet, while there is extensive analysis of the biophysical gaps in protected areas </w:t>
      </w:r>
      <w:r>
        <w:rPr>
          <w:rFonts w:ascii="Times New Roman" w:hAnsi="Times New Roman" w:cs="Times New Roman"/>
          <w:noProof/>
        </w:rPr>
        <w:t>(Diamond, 1975; Pimm et al., 2014; Venter et al., 2014)</w:t>
      </w:r>
      <w:r w:rsidRPr="00531BCA">
        <w:rPr>
          <w:rFonts w:ascii="Times New Roman" w:hAnsi="Times New Roman" w:cs="Times New Roman"/>
        </w:rPr>
        <w:t xml:space="preserve">, there is to date little detailed analysis of the reasons why some protected areas are more effective than others at protecting the resources within their boundaries </w:t>
      </w:r>
      <w:r w:rsidRPr="00531BCA">
        <w:rPr>
          <w:rFonts w:ascii="Times New Roman" w:hAnsi="Times New Roman" w:cs="Times New Roman"/>
          <w:noProof/>
        </w:rPr>
        <w:t>(Ban et al., 2013)</w:t>
      </w:r>
      <w:r w:rsidRPr="00531BCA">
        <w:rPr>
          <w:rFonts w:ascii="Times New Roman" w:hAnsi="Times New Roman" w:cs="Times New Roman"/>
        </w:rPr>
        <w:t xml:space="preserve">. Given frequent calls by conservationists and policy mandates from international bodies to increase protected areas around the world </w:t>
      </w:r>
      <w:r>
        <w:rPr>
          <w:rFonts w:ascii="Times New Roman" w:hAnsi="Times New Roman" w:cs="Times New Roman"/>
          <w:noProof/>
        </w:rPr>
        <w:t>(Bhola et al., 2016; Convention on Biological Diversity, 2011; Wilson, 2017; Xu et al., 2017)</w:t>
      </w:r>
      <w:r w:rsidRPr="00531BCA">
        <w:rPr>
          <w:rFonts w:ascii="Times New Roman" w:hAnsi="Times New Roman" w:cs="Times New Roman"/>
        </w:rPr>
        <w:t xml:space="preserve">, and widespread evidence that protected areas can have negative consequences for people living in or near them </w:t>
      </w:r>
      <w:r w:rsidRPr="00531BCA">
        <w:rPr>
          <w:rFonts w:ascii="Times New Roman" w:hAnsi="Times New Roman" w:cs="Times New Roman"/>
          <w:noProof/>
        </w:rPr>
        <w:t>(West et al., 2006)</w:t>
      </w:r>
      <w:r w:rsidRPr="00531BCA">
        <w:rPr>
          <w:rFonts w:ascii="Times New Roman" w:hAnsi="Times New Roman" w:cs="Times New Roman"/>
        </w:rPr>
        <w:t>, it is imperative that conservationists develop a stronger understanding of the factors that influence protected areas’ ability to achieve their goals.</w:t>
      </w:r>
    </w:p>
    <w:p w:rsidR="00B00893" w:rsidRDefault="00B00893" w:rsidP="0097609D">
      <w:pPr>
        <w:spacing w:after="120"/>
        <w:ind w:firstLine="720"/>
        <w:jc w:val="both"/>
        <w:rPr>
          <w:rFonts w:ascii="Times New Roman" w:hAnsi="Times New Roman" w:cs="Times New Roman"/>
        </w:rPr>
      </w:pPr>
      <w:r w:rsidRPr="00531BCA">
        <w:rPr>
          <w:rFonts w:ascii="Times New Roman" w:hAnsi="Times New Roman" w:cs="Times New Roman"/>
        </w:rPr>
        <w:t>This paper utilizes a case study of an ecologically and culturally important set of adjoining protected areas,</w:t>
      </w:r>
      <w:r>
        <w:rPr>
          <w:rFonts w:ascii="Times New Roman" w:hAnsi="Times New Roman" w:cs="Times New Roman"/>
        </w:rPr>
        <w:t xml:space="preserve"> the Calakmul and Maya Biosphere Reserves</w:t>
      </w:r>
      <w:r w:rsidRPr="00531BCA">
        <w:rPr>
          <w:rFonts w:ascii="Times New Roman" w:hAnsi="Times New Roman" w:cs="Times New Roman"/>
        </w:rPr>
        <w:t>, to examine the causal processes that lead to contrasting protected area outcomes</w:t>
      </w:r>
      <w:r>
        <w:rPr>
          <w:rFonts w:ascii="Times New Roman" w:hAnsi="Times New Roman" w:cs="Times New Roman"/>
        </w:rPr>
        <w:t>.</w:t>
      </w:r>
      <w:r w:rsidRPr="00531BCA">
        <w:rPr>
          <w:rFonts w:ascii="Times New Roman" w:hAnsi="Times New Roman" w:cs="Times New Roman"/>
        </w:rPr>
        <w:t xml:space="preserve"> </w:t>
      </w:r>
      <w:r>
        <w:rPr>
          <w:rFonts w:ascii="Times New Roman" w:hAnsi="Times New Roman" w:cs="Times New Roman"/>
        </w:rPr>
        <w:t xml:space="preserve">Together these two Biosphere Reserves are called </w:t>
      </w:r>
      <w:r w:rsidRPr="00531BCA">
        <w:rPr>
          <w:rFonts w:ascii="Times New Roman" w:hAnsi="Times New Roman" w:cs="Times New Roman"/>
        </w:rPr>
        <w:t xml:space="preserve">The Maya Forest of Mexico and Guatemala. </w:t>
      </w:r>
      <w:r>
        <w:rPr>
          <w:rFonts w:ascii="Times New Roman" w:hAnsi="Times New Roman" w:cs="Times New Roman"/>
        </w:rPr>
        <w:t>W</w:t>
      </w:r>
      <w:r w:rsidRPr="00531BCA">
        <w:rPr>
          <w:rFonts w:ascii="Times New Roman" w:hAnsi="Times New Roman" w:cs="Times New Roman"/>
        </w:rPr>
        <w:t xml:space="preserve">e argue that the effectiveness of </w:t>
      </w:r>
      <w:r>
        <w:rPr>
          <w:rFonts w:ascii="Times New Roman" w:hAnsi="Times New Roman" w:cs="Times New Roman"/>
        </w:rPr>
        <w:t xml:space="preserve">these </w:t>
      </w:r>
      <w:r w:rsidRPr="00531BCA">
        <w:rPr>
          <w:rFonts w:ascii="Times New Roman" w:hAnsi="Times New Roman" w:cs="Times New Roman"/>
        </w:rPr>
        <w:t>protected areas is influenced by institutional legacies that pre-date protected area formation. In our case, differences in the processes of frontier settlement and granting of formal and informal land rights play a strong role in influencing the relationship between protected areas and land users within the protected area boundaries. As a result of a clearer and more equitable distribution of land on the Mexican side of the border, where a strong system of collective property ownership has been consistently supported by state institutions, farmers there engage in more conservation activities on their own land</w:t>
      </w:r>
      <w:r>
        <w:rPr>
          <w:rFonts w:ascii="Times New Roman" w:hAnsi="Times New Roman" w:cs="Times New Roman"/>
        </w:rPr>
        <w:t xml:space="preserve"> than farmers on the Guatemalan side</w:t>
      </w:r>
      <w:r w:rsidRPr="00531BCA">
        <w:rPr>
          <w:rFonts w:ascii="Times New Roman" w:hAnsi="Times New Roman" w:cs="Times New Roman"/>
        </w:rPr>
        <w:t xml:space="preserve">. </w:t>
      </w:r>
      <w:r>
        <w:rPr>
          <w:rFonts w:ascii="Times New Roman" w:hAnsi="Times New Roman" w:cs="Times New Roman"/>
        </w:rPr>
        <w:t xml:space="preserve">Contrasting with Mexico’s common land property, in Guatemala land is owned privately and under one of the most unequal land distribution system in the continent </w:t>
      </w:r>
      <w:r>
        <w:rPr>
          <w:rFonts w:ascii="Times New Roman" w:hAnsi="Times New Roman" w:cs="Times New Roman"/>
          <w:noProof/>
        </w:rPr>
        <w:t>(Sundberg, 2003)</w:t>
      </w:r>
      <w:r>
        <w:rPr>
          <w:rFonts w:ascii="Times New Roman" w:hAnsi="Times New Roman" w:cs="Times New Roman"/>
        </w:rPr>
        <w:t xml:space="preserve">. Communities on the Guatemalan study area lack the political organization commonly found in Mexico, which supports collective action and empowers individuals. </w:t>
      </w:r>
    </w:p>
    <w:p w:rsidR="00B00893" w:rsidRPr="00531BCA" w:rsidRDefault="00B00893" w:rsidP="00043118">
      <w:pPr>
        <w:spacing w:after="120"/>
        <w:ind w:firstLine="720"/>
        <w:jc w:val="both"/>
        <w:rPr>
          <w:rFonts w:ascii="Times New Roman" w:hAnsi="Times New Roman" w:cs="Times New Roman"/>
        </w:rPr>
      </w:pPr>
      <w:r w:rsidRPr="00531BCA">
        <w:rPr>
          <w:rFonts w:ascii="Times New Roman" w:hAnsi="Times New Roman" w:cs="Times New Roman"/>
        </w:rPr>
        <w:t xml:space="preserve">Our argument in this paper has important practical implications. We argue that institutional legacies, of the kind that influence the effectiveness of protected areas in the Mayan forest, are potentially visible to protected area designers, and  should thus be taken into account alongside biophysical and economic concerns in the creation of protected areas. If regions where people possess more secure property rights, property is more equitably distributed, and political processes are more representative are more likely to be well protected, then protected area designers can increase the efficacy of protected areas by locating new protected areas in places which already have supportive institutional contexts. Protected area managers in areas lacking these conditions may also be able to improve the effectiveness of their management by helping secure property rights and increase political representation and economic equality for those living in or near the </w:t>
      </w:r>
      <w:r w:rsidRPr="00531BCA">
        <w:rPr>
          <w:rFonts w:ascii="Times New Roman" w:hAnsi="Times New Roman" w:cs="Times New Roman"/>
        </w:rPr>
        <w:lastRenderedPageBreak/>
        <w:t>protected area. The evidence from Calakmul, and from successful conservation efforts in parts of the Maya, indicate that collective property ownership may be a particular</w:t>
      </w:r>
      <w:r>
        <w:rPr>
          <w:rFonts w:ascii="Times New Roman" w:hAnsi="Times New Roman" w:cs="Times New Roman"/>
        </w:rPr>
        <w:t>ly</w:t>
      </w:r>
      <w:r w:rsidRPr="00531BCA">
        <w:rPr>
          <w:rFonts w:ascii="Times New Roman" w:hAnsi="Times New Roman" w:cs="Times New Roman"/>
        </w:rPr>
        <w:t xml:space="preserve"> effective </w:t>
      </w:r>
      <w:r>
        <w:rPr>
          <w:rFonts w:ascii="Times New Roman" w:hAnsi="Times New Roman" w:cs="Times New Roman"/>
        </w:rPr>
        <w:t>way</w:t>
      </w:r>
      <w:r w:rsidRPr="00531BCA">
        <w:rPr>
          <w:rFonts w:ascii="Times New Roman" w:hAnsi="Times New Roman" w:cs="Times New Roman"/>
        </w:rPr>
        <w:t xml:space="preserve"> of supporting greater equality, democratic participation, and conservation effort on the part of protected area residents, particularly when it receives institutional support from protected area managers and other elements of the government. This is in direct contrast to policies in many protected areas, where emphasis is placed on undermining the property rights of resident households and communities, with the goal of depopulating the protected area</w:t>
      </w:r>
      <w:r>
        <w:rPr>
          <w:rFonts w:ascii="Times New Roman" w:hAnsi="Times New Roman" w:cs="Times New Roman"/>
        </w:rPr>
        <w:t xml:space="preserve"> in favor of land claims of the central state</w:t>
      </w:r>
      <w:r w:rsidRPr="00531BCA">
        <w:rPr>
          <w:rFonts w:ascii="Times New Roman" w:hAnsi="Times New Roman" w:cs="Times New Roman"/>
        </w:rPr>
        <w:t>. The land tenure systems that contributed to greater economic and political equality in the Calakmul Biosphere Reserve in Mexico also contributed to more conservation oriented farmer-level behavior. Our work thus supports recent studies that find</w:t>
      </w:r>
      <w:r w:rsidRPr="007E47CE">
        <w:rPr>
          <w:rFonts w:ascii="Times New Roman" w:hAnsi="Times New Roman" w:cs="Times New Roman"/>
        </w:rPr>
        <w:t xml:space="preserve"> </w:t>
      </w:r>
      <w:r>
        <w:rPr>
          <w:rFonts w:ascii="Times New Roman" w:hAnsi="Times New Roman" w:cs="Times New Roman"/>
        </w:rPr>
        <w:t xml:space="preserve">that examining social data might significantly change the placement of protected areas </w:t>
      </w:r>
      <w:r>
        <w:rPr>
          <w:rFonts w:ascii="Times New Roman" w:hAnsi="Times New Roman" w:cs="Times New Roman"/>
          <w:noProof/>
        </w:rPr>
        <w:t>(Karimi et al., 2017)</w:t>
      </w:r>
      <w:r>
        <w:rPr>
          <w:rFonts w:ascii="Times New Roman" w:hAnsi="Times New Roman" w:cs="Times New Roman"/>
        </w:rPr>
        <w:t xml:space="preserve">, and that there is </w:t>
      </w:r>
      <w:r w:rsidRPr="00531BCA">
        <w:rPr>
          <w:rFonts w:ascii="Times New Roman" w:hAnsi="Times New Roman" w:cs="Times New Roman"/>
        </w:rPr>
        <w:t xml:space="preserve">a relationship between economic inequality, political representation, and the designation of protected areas </w:t>
      </w:r>
      <w:r w:rsidRPr="00531BCA">
        <w:rPr>
          <w:rFonts w:ascii="Times New Roman" w:hAnsi="Times New Roman" w:cs="Times New Roman"/>
          <w:noProof/>
        </w:rPr>
        <w:t>(Kashwan, 2017b)</w:t>
      </w:r>
      <w:r w:rsidRPr="00531BCA">
        <w:rPr>
          <w:rFonts w:ascii="Times New Roman" w:hAnsi="Times New Roman" w:cs="Times New Roman"/>
        </w:rPr>
        <w:t>.</w:t>
      </w:r>
    </w:p>
    <w:p w:rsidR="00B00893" w:rsidRPr="00531BCA" w:rsidRDefault="00B00893" w:rsidP="00043118">
      <w:pPr>
        <w:spacing w:after="120"/>
        <w:ind w:firstLine="720"/>
        <w:jc w:val="both"/>
        <w:rPr>
          <w:rFonts w:ascii="Times New Roman" w:hAnsi="Times New Roman" w:cs="Times New Roman"/>
        </w:rPr>
      </w:pPr>
      <w:r w:rsidRPr="00531BCA">
        <w:rPr>
          <w:rFonts w:ascii="Times New Roman" w:hAnsi="Times New Roman" w:cs="Times New Roman"/>
        </w:rPr>
        <w:t xml:space="preserve">Our argument also has important theoretical implications for those who study the role of institutions in human-environment relations. While there is a large literature applying institutional approaches to understand conservation outcomes </w:t>
      </w:r>
      <w:r>
        <w:rPr>
          <w:rFonts w:ascii="Times New Roman" w:hAnsi="Times New Roman" w:cs="Times New Roman"/>
          <w:noProof/>
        </w:rPr>
        <w:t>(Cox et al., 2016; Fleischman et al., 2014; Poteete et al., 2010; Tucker, 2010)</w:t>
      </w:r>
      <w:r w:rsidRPr="00531BCA">
        <w:rPr>
          <w:rFonts w:ascii="Times New Roman" w:hAnsi="Times New Roman" w:cs="Times New Roman"/>
        </w:rPr>
        <w:t xml:space="preserve">, much of it focuses on static analyses of institutional settings during one or two time snapshots. Our argument shows that long-term trajectories of historical development matter in determining conservation outcomes, and thus lends support to greater application of institutional approaches that complement rational choice with historical institutionalism </w:t>
      </w:r>
      <w:r w:rsidRPr="00531BCA">
        <w:rPr>
          <w:rFonts w:ascii="Times New Roman" w:hAnsi="Times New Roman" w:cs="Times New Roman"/>
          <w:noProof/>
        </w:rPr>
        <w:t>(Hall and Taylor, 1996)</w:t>
      </w:r>
      <w:r w:rsidRPr="00531BCA">
        <w:rPr>
          <w:rFonts w:ascii="Times New Roman" w:hAnsi="Times New Roman" w:cs="Times New Roman"/>
        </w:rPr>
        <w:t xml:space="preserve">, and more broadly, of the importance of historical analysis in contemporary environmental policy </w:t>
      </w:r>
      <w:r w:rsidRPr="00531BCA">
        <w:rPr>
          <w:rFonts w:ascii="Times New Roman" w:hAnsi="Times New Roman" w:cs="Times New Roman"/>
          <w:noProof/>
        </w:rPr>
        <w:t>(Castree, 2017)</w:t>
      </w:r>
      <w:r w:rsidRPr="00531BCA">
        <w:rPr>
          <w:rFonts w:ascii="Times New Roman" w:hAnsi="Times New Roman" w:cs="Times New Roman"/>
        </w:rPr>
        <w:t xml:space="preserve">. This argument is consistent with broader calls for developing a political economy of institutions approach for analyzing human-environment relations </w:t>
      </w:r>
      <w:r w:rsidRPr="00531BCA">
        <w:rPr>
          <w:rFonts w:ascii="Times New Roman" w:hAnsi="Times New Roman" w:cs="Times New Roman"/>
          <w:noProof/>
        </w:rPr>
        <w:t>(Kashwan, 2017a)</w:t>
      </w:r>
      <w:r w:rsidRPr="00531BCA">
        <w:rPr>
          <w:rFonts w:ascii="Times New Roman" w:hAnsi="Times New Roman" w:cs="Times New Roman"/>
        </w:rPr>
        <w:t>.</w:t>
      </w:r>
    </w:p>
    <w:p w:rsidR="00B00893" w:rsidRPr="00092075" w:rsidRDefault="00B00893" w:rsidP="00574AD3">
      <w:pPr>
        <w:pStyle w:val="ListParagraph"/>
        <w:numPr>
          <w:ilvl w:val="1"/>
          <w:numId w:val="2"/>
        </w:numPr>
        <w:spacing w:after="120"/>
        <w:jc w:val="both"/>
        <w:rPr>
          <w:rFonts w:ascii="Times New Roman" w:hAnsi="Times New Roman" w:cs="Times New Roman"/>
          <w:b/>
        </w:rPr>
      </w:pPr>
      <w:r w:rsidRPr="00092075">
        <w:rPr>
          <w:rFonts w:ascii="Times New Roman" w:hAnsi="Times New Roman" w:cs="Times New Roman"/>
          <w:b/>
        </w:rPr>
        <w:t>Institutional Legacies and human behavior</w:t>
      </w:r>
    </w:p>
    <w:p w:rsidR="00B00893" w:rsidRPr="00531BCA" w:rsidRDefault="00B00893" w:rsidP="00216993">
      <w:pPr>
        <w:spacing w:after="120"/>
        <w:ind w:firstLine="720"/>
        <w:jc w:val="both"/>
        <w:rPr>
          <w:rFonts w:ascii="Times New Roman" w:hAnsi="Times New Roman" w:cs="Times New Roman"/>
        </w:rPr>
      </w:pPr>
      <w:r w:rsidRPr="00531BCA">
        <w:rPr>
          <w:rFonts w:ascii="Times New Roman" w:hAnsi="Times New Roman" w:cs="Times New Roman"/>
        </w:rPr>
        <w:t xml:space="preserve">Many environmental social scientists are familiar with the analysis of institutions in the study of collective action </w:t>
      </w:r>
      <w:r>
        <w:rPr>
          <w:rFonts w:ascii="Times New Roman" w:hAnsi="Times New Roman" w:cs="Times New Roman"/>
          <w:noProof/>
        </w:rPr>
        <w:t>(Cox et al., 2016; Ostrom, 1990; Poteete et al., 2010)</w:t>
      </w:r>
      <w:r w:rsidRPr="00531BCA">
        <w:rPr>
          <w:rFonts w:ascii="Times New Roman" w:hAnsi="Times New Roman" w:cs="Times New Roman"/>
        </w:rPr>
        <w:t>, but may be less familiar with other institutional research traditions. The well-known collective action studies of Ostrom and others built on the bounded rational choice framework developed in political science and economics in the 1970s and 1980s</w:t>
      </w:r>
      <w:r>
        <w:rPr>
          <w:rFonts w:ascii="Times New Roman" w:hAnsi="Times New Roman" w:cs="Times New Roman"/>
        </w:rPr>
        <w:t xml:space="preserve"> </w:t>
      </w:r>
      <w:r>
        <w:rPr>
          <w:rFonts w:ascii="Times New Roman" w:hAnsi="Times New Roman" w:cs="Times New Roman"/>
          <w:noProof/>
        </w:rPr>
        <w:t>(Ostrom, 2007; Ostrom et al., 1994)</w:t>
      </w:r>
      <w:r w:rsidRPr="00531BCA">
        <w:rPr>
          <w:rFonts w:ascii="Times New Roman" w:hAnsi="Times New Roman" w:cs="Times New Roman"/>
        </w:rPr>
        <w:t xml:space="preserve">. In particular, this research called into question earlier studies that used a narrow view of rationality to argue that cooperative behavior should not occur </w:t>
      </w:r>
      <w:r w:rsidRPr="00531BCA">
        <w:rPr>
          <w:rFonts w:ascii="Times New Roman" w:hAnsi="Times New Roman" w:cs="Times New Roman"/>
          <w:noProof/>
        </w:rPr>
        <w:t>(Olson, 1965)</w:t>
      </w:r>
      <w:r w:rsidRPr="00531BCA">
        <w:rPr>
          <w:rFonts w:ascii="Times New Roman" w:hAnsi="Times New Roman" w:cs="Times New Roman"/>
        </w:rPr>
        <w:t xml:space="preserve">, by showing that under conditions in which actors were able to communicate, sanction, and interact repeatedly, cooperation was in fact rational </w:t>
      </w:r>
      <w:r>
        <w:rPr>
          <w:rFonts w:ascii="Times New Roman" w:hAnsi="Times New Roman" w:cs="Times New Roman"/>
          <w:noProof/>
        </w:rPr>
        <w:t>(Henrich et al., 2004; Ostrom et al., 1994)</w:t>
      </w:r>
      <w:r w:rsidRPr="00531BCA">
        <w:rPr>
          <w:rFonts w:ascii="Times New Roman" w:hAnsi="Times New Roman" w:cs="Times New Roman"/>
        </w:rPr>
        <w:t xml:space="preserve">, and could be reinforced through institutional constraints </w:t>
      </w:r>
      <w:r w:rsidRPr="00531BCA">
        <w:rPr>
          <w:rFonts w:ascii="Times New Roman" w:hAnsi="Times New Roman" w:cs="Times New Roman"/>
          <w:noProof/>
        </w:rPr>
        <w:t>(Ostrom, 1990)</w:t>
      </w:r>
      <w:r w:rsidRPr="00531BCA">
        <w:rPr>
          <w:rFonts w:ascii="Times New Roman" w:hAnsi="Times New Roman" w:cs="Times New Roman"/>
        </w:rPr>
        <w:t xml:space="preserve">. In this bounded rational choice institutionalism, institutions are seen as “the rules of the game,” and individual behavior is conceptualized in game theoretic terms of strategic interaction, with an understanding that human cognition is subject to limitations that prevent humans from behaving as the strict rational calculators of earlier rational choice theories </w:t>
      </w:r>
      <w:r>
        <w:rPr>
          <w:rFonts w:ascii="Times New Roman" w:hAnsi="Times New Roman" w:cs="Times New Roman"/>
          <w:noProof/>
        </w:rPr>
        <w:t>(Jones, 2001; Kahneman, 2011; North, 1990; Ostrom, 2005)</w:t>
      </w:r>
      <w:r w:rsidRPr="00531BCA">
        <w:rPr>
          <w:rFonts w:ascii="Times New Roman" w:hAnsi="Times New Roman" w:cs="Times New Roman"/>
        </w:rPr>
        <w:t>.</w:t>
      </w:r>
    </w:p>
    <w:p w:rsidR="00B00893" w:rsidRPr="00531BCA" w:rsidRDefault="00B00893" w:rsidP="0021366C">
      <w:pPr>
        <w:spacing w:after="120"/>
        <w:ind w:firstLine="720"/>
        <w:jc w:val="both"/>
        <w:rPr>
          <w:rFonts w:ascii="Times New Roman" w:hAnsi="Times New Roman" w:cs="Times New Roman"/>
        </w:rPr>
      </w:pPr>
      <w:r w:rsidRPr="00531BCA">
        <w:rPr>
          <w:rFonts w:ascii="Times New Roman" w:hAnsi="Times New Roman" w:cs="Times New Roman"/>
        </w:rPr>
        <w:t xml:space="preserve">While not necessarily disagreeing with a game theoretic view of strategic interaction, historical institutionalists, at least within political science </w:t>
      </w:r>
      <w:r w:rsidRPr="00531BCA">
        <w:rPr>
          <w:rFonts w:ascii="Times New Roman" w:hAnsi="Times New Roman" w:cs="Times New Roman"/>
          <w:noProof/>
        </w:rPr>
        <w:t>(Hall and Taylor, 1996)</w:t>
      </w:r>
      <w:r w:rsidRPr="00531BCA">
        <w:rPr>
          <w:rFonts w:ascii="Times New Roman" w:hAnsi="Times New Roman" w:cs="Times New Roman"/>
        </w:rPr>
        <w:t xml:space="preserve">, tend to be less concerned with explaining individual behavior than with explaining large-scale political patterns that emerge over long time frames </w:t>
      </w:r>
      <w:r w:rsidRPr="00531BCA">
        <w:rPr>
          <w:rFonts w:ascii="Times New Roman" w:hAnsi="Times New Roman" w:cs="Times New Roman"/>
          <w:noProof/>
        </w:rPr>
        <w:t>(Pierson, 2003)</w:t>
      </w:r>
      <w:r w:rsidRPr="00531BCA">
        <w:rPr>
          <w:rFonts w:ascii="Times New Roman" w:hAnsi="Times New Roman" w:cs="Times New Roman"/>
        </w:rPr>
        <w:t xml:space="preserve">. Such patterns emerge not merely through strategic interaction between individual actors, but through path dependence, wherein choices made at one time constrain choices further down the line </w:t>
      </w:r>
      <w:r>
        <w:rPr>
          <w:rFonts w:ascii="Times New Roman" w:hAnsi="Times New Roman" w:cs="Times New Roman"/>
          <w:noProof/>
        </w:rPr>
        <w:t>(Arthur, 1994; Pierson, 2000)</w:t>
      </w:r>
      <w:r w:rsidRPr="00531BCA">
        <w:rPr>
          <w:rFonts w:ascii="Times New Roman" w:hAnsi="Times New Roman" w:cs="Times New Roman"/>
        </w:rPr>
        <w:t xml:space="preserve">. </w:t>
      </w:r>
      <w:r w:rsidRPr="00531BCA">
        <w:rPr>
          <w:rFonts w:ascii="Times New Roman" w:hAnsi="Times New Roman" w:cs="Times New Roman"/>
        </w:rPr>
        <w:lastRenderedPageBreak/>
        <w:t xml:space="preserve">Furthermore, historical institutionalists in political science emphasize the way that institutional path dependence is shaped by the way institutions shape political alliances and movements that further constrain – or enable – future choices </w:t>
      </w:r>
      <w:r>
        <w:rPr>
          <w:rFonts w:ascii="Times New Roman" w:hAnsi="Times New Roman" w:cs="Times New Roman"/>
          <w:noProof/>
        </w:rPr>
        <w:t>(Carpenter, 2001; Evans et al., 1985; Skocpol et al., 2000)</w:t>
      </w:r>
      <w:r w:rsidRPr="00531BCA">
        <w:rPr>
          <w:rFonts w:ascii="Times New Roman" w:hAnsi="Times New Roman" w:cs="Times New Roman"/>
        </w:rPr>
        <w:t>. The emphasis in this literature is on institutions as “the formal or informal procedures, routines, norms and conventions embedded in the organizational structure of the polity or political economy”</w:t>
      </w:r>
      <w:r>
        <w:rPr>
          <w:rFonts w:ascii="Times New Roman" w:hAnsi="Times New Roman" w:cs="Times New Roman"/>
        </w:rPr>
        <w:t xml:space="preserve"> </w:t>
      </w:r>
      <w:r w:rsidRPr="00531BCA">
        <w:rPr>
          <w:rFonts w:ascii="Times New Roman" w:hAnsi="Times New Roman" w:cs="Times New Roman"/>
          <w:noProof/>
        </w:rPr>
        <w:t>(Hall and Taylor, 1996)</w:t>
      </w:r>
      <w:r w:rsidRPr="00531BCA">
        <w:rPr>
          <w:rFonts w:ascii="Times New Roman" w:hAnsi="Times New Roman" w:cs="Times New Roman"/>
        </w:rPr>
        <w:t>.</w:t>
      </w:r>
    </w:p>
    <w:p w:rsidR="00B00893" w:rsidRPr="00531BCA" w:rsidRDefault="00B00893" w:rsidP="0021366C">
      <w:pPr>
        <w:spacing w:after="120"/>
        <w:ind w:firstLine="720"/>
        <w:jc w:val="both"/>
        <w:rPr>
          <w:rFonts w:ascii="Times New Roman" w:hAnsi="Times New Roman" w:cs="Times New Roman"/>
        </w:rPr>
      </w:pPr>
      <w:r w:rsidRPr="00531BCA">
        <w:rPr>
          <w:rFonts w:ascii="Times New Roman" w:hAnsi="Times New Roman" w:cs="Times New Roman"/>
        </w:rPr>
        <w:t xml:space="preserve">While historical institutionalism has been less widely applied to the study of human-environment interactions, its applications show that it can be a powerful tool for understanding conservation related outcomes. For example, </w:t>
      </w:r>
      <w:r w:rsidRPr="00531BCA">
        <w:rPr>
          <w:rFonts w:ascii="Times New Roman" w:hAnsi="Times New Roman" w:cs="Times New Roman"/>
          <w:noProof/>
        </w:rPr>
        <w:t>Kashwan (2017a)</w:t>
      </w:r>
      <w:r w:rsidRPr="00531BCA">
        <w:rPr>
          <w:rFonts w:ascii="Times New Roman" w:hAnsi="Times New Roman" w:cs="Times New Roman"/>
        </w:rPr>
        <w:t xml:space="preserve"> points to long trajectories of colonial and post-colonial politics to explain the existence of greater democratic control of conservation in Mexico relative to India and Tanzania. While individual events – such as the decision to make land redistribution central to efforts to build political power in Mexico during the Great Depression – can be explained using the game theoretic approaches popular among rational choice institutionalists, the overall outcome – strong community control over forests throughout Mexico today – was built not only on this one decision, but also on the earlier foundation of the Mexican revolution, which redistributed political power among elite coalitions – and also much later when, in the 1980s, economic restructuring led the Mexican state to terminate forest concessions and redistribute forest management rights to forest-owning communities (who held political power as a result of agrarian reforms initiated in the wake of the revolution). Along similar lines, </w:t>
      </w:r>
      <w:r w:rsidRPr="00531BCA">
        <w:rPr>
          <w:rFonts w:ascii="Times New Roman" w:hAnsi="Times New Roman" w:cs="Times New Roman"/>
          <w:noProof/>
        </w:rPr>
        <w:t>Schoon (2013)</w:t>
      </w:r>
      <w:r w:rsidRPr="00531BCA">
        <w:rPr>
          <w:rFonts w:ascii="Times New Roman" w:hAnsi="Times New Roman" w:cs="Times New Roman"/>
        </w:rPr>
        <w:t xml:space="preserve"> compares two transboundary protected areas in southern Africa to show how an initial bottom-up approach to international cooperation has enabled much more effective ground-level coordination </w:t>
      </w:r>
      <w:r>
        <w:rPr>
          <w:rFonts w:ascii="Times New Roman" w:hAnsi="Times New Roman" w:cs="Times New Roman"/>
        </w:rPr>
        <w:t>when</w:t>
      </w:r>
      <w:r w:rsidRPr="00531BCA">
        <w:rPr>
          <w:rFonts w:ascii="Times New Roman" w:hAnsi="Times New Roman" w:cs="Times New Roman"/>
        </w:rPr>
        <w:t xml:space="preserve"> compared to a top-down approach. In short, in the view of historical institutionalists, it is the pathways of institutional change, often borne through decades of political conflict, that explain current institutional conditions.</w:t>
      </w:r>
    </w:p>
    <w:p w:rsidR="00B00893" w:rsidRPr="00531BCA" w:rsidRDefault="00B00893" w:rsidP="00216993">
      <w:pPr>
        <w:spacing w:after="120"/>
        <w:ind w:firstLine="720"/>
        <w:jc w:val="both"/>
        <w:rPr>
          <w:rFonts w:ascii="Times New Roman" w:hAnsi="Times New Roman" w:cs="Times New Roman"/>
        </w:rPr>
      </w:pPr>
    </w:p>
    <w:p w:rsidR="00B00893" w:rsidRPr="00092075" w:rsidRDefault="00B00893" w:rsidP="004A240E">
      <w:pPr>
        <w:spacing w:after="120"/>
        <w:jc w:val="both"/>
        <w:rPr>
          <w:rFonts w:ascii="Times New Roman" w:hAnsi="Times New Roman" w:cs="Times New Roman"/>
          <w:b/>
        </w:rPr>
      </w:pPr>
      <w:r w:rsidRPr="00092075">
        <w:rPr>
          <w:rFonts w:ascii="Times New Roman" w:hAnsi="Times New Roman" w:cs="Times New Roman"/>
          <w:b/>
        </w:rPr>
        <w:t>1.2 Empirical studies of protected area effectiveness</w:t>
      </w:r>
    </w:p>
    <w:p w:rsidR="00B00893" w:rsidRPr="00531BCA" w:rsidRDefault="00B00893" w:rsidP="004F2C66">
      <w:pPr>
        <w:spacing w:after="120"/>
        <w:jc w:val="both"/>
        <w:rPr>
          <w:rFonts w:ascii="Times New Roman" w:hAnsi="Times New Roman" w:cs="Times New Roman"/>
        </w:rPr>
      </w:pPr>
      <w:r w:rsidRPr="00531BCA">
        <w:rPr>
          <w:rFonts w:ascii="Times New Roman" w:hAnsi="Times New Roman" w:cs="Times New Roman"/>
        </w:rPr>
        <w:tab/>
        <w:t xml:space="preserve">In contrast to the views of institutionalists who emphasize strategic interactions, institutional constraints, and over-time development, scholars examining the efficacy of protected areas in protecting resources within their boundaries have primarily used cross sectional research designs to identify correlations between management effectiveness and other factors. Several studies have collected survey data from protected area managers or local experts </w:t>
      </w:r>
      <w:r>
        <w:rPr>
          <w:rFonts w:ascii="Times New Roman" w:hAnsi="Times New Roman" w:cs="Times New Roman"/>
          <w:noProof/>
        </w:rPr>
        <w:t>(Bruner et al., 2001; Laurance et al., 2012)</w:t>
      </w:r>
      <w:r w:rsidRPr="00531BCA">
        <w:rPr>
          <w:rFonts w:ascii="Times New Roman" w:hAnsi="Times New Roman" w:cs="Times New Roman"/>
        </w:rPr>
        <w:t xml:space="preserve">, or collated self-studies of protected area management and effectiveness </w:t>
      </w:r>
      <w:r>
        <w:rPr>
          <w:rFonts w:ascii="Times New Roman" w:hAnsi="Times New Roman" w:cs="Times New Roman"/>
          <w:noProof/>
        </w:rPr>
        <w:t>(Coad et al., 2015; Gill et al., 2017; Leverington et al., 2010)</w:t>
      </w:r>
      <w:r w:rsidRPr="00531BCA">
        <w:rPr>
          <w:rFonts w:ascii="Times New Roman" w:hAnsi="Times New Roman" w:cs="Times New Roman"/>
        </w:rPr>
        <w:t xml:space="preserve">. These studies report that consistent and high levels of funding and active on-the-ground enforcement activity correlate with better outcomes. The findings on the importance of local enforcement from survey data are consistent with research on forest conservation at the community level </w:t>
      </w:r>
      <w:r>
        <w:rPr>
          <w:rFonts w:ascii="Times New Roman" w:hAnsi="Times New Roman" w:cs="Times New Roman"/>
          <w:noProof/>
        </w:rPr>
        <w:t>(Chhatre and Agrawal, 2008; Coleman, 2009; Gibson et al., 2005; Wright et al., 2016)</w:t>
      </w:r>
      <w:r w:rsidRPr="00531BCA">
        <w:rPr>
          <w:rFonts w:ascii="Times New Roman" w:hAnsi="Times New Roman" w:cs="Times New Roman"/>
        </w:rPr>
        <w:t xml:space="preserve">, as well as in large marine protected areas </w:t>
      </w:r>
      <w:r w:rsidRPr="00531BCA">
        <w:rPr>
          <w:rFonts w:ascii="Times New Roman" w:hAnsi="Times New Roman" w:cs="Times New Roman"/>
          <w:noProof/>
        </w:rPr>
        <w:t>(Ban et al., 2017)</w:t>
      </w:r>
      <w:r w:rsidRPr="00531BCA">
        <w:rPr>
          <w:rFonts w:ascii="Times New Roman" w:hAnsi="Times New Roman" w:cs="Times New Roman"/>
        </w:rPr>
        <w:t xml:space="preserve">, however government protected areas </w:t>
      </w:r>
      <w:r>
        <w:rPr>
          <w:rFonts w:ascii="Times New Roman" w:hAnsi="Times New Roman" w:cs="Times New Roman"/>
        </w:rPr>
        <w:t>may be</w:t>
      </w:r>
      <w:r w:rsidRPr="00531BCA">
        <w:rPr>
          <w:rFonts w:ascii="Times New Roman" w:hAnsi="Times New Roman" w:cs="Times New Roman"/>
        </w:rPr>
        <w:t xml:space="preserve"> no better protected than areas conserved by local communities </w:t>
      </w:r>
      <w:r>
        <w:rPr>
          <w:rFonts w:ascii="Times New Roman" w:hAnsi="Times New Roman" w:cs="Times New Roman"/>
          <w:noProof/>
        </w:rPr>
        <w:t>(Hayes, 2006; Porter-Bolland et al., 2012)</w:t>
      </w:r>
      <w:r>
        <w:rPr>
          <w:rFonts w:ascii="Times New Roman" w:hAnsi="Times New Roman" w:cs="Times New Roman"/>
        </w:rPr>
        <w:t>.</w:t>
      </w:r>
      <w:r w:rsidRPr="00531BCA">
        <w:rPr>
          <w:rFonts w:ascii="Times New Roman" w:hAnsi="Times New Roman" w:cs="Times New Roman"/>
        </w:rPr>
        <w:t xml:space="preserve"> </w:t>
      </w:r>
      <w:r>
        <w:rPr>
          <w:rFonts w:ascii="Times New Roman" w:hAnsi="Times New Roman" w:cs="Times New Roman"/>
        </w:rPr>
        <w:t>L</w:t>
      </w:r>
      <w:r w:rsidRPr="00531BCA">
        <w:rPr>
          <w:rFonts w:ascii="Times New Roman" w:hAnsi="Times New Roman" w:cs="Times New Roman"/>
        </w:rPr>
        <w:t xml:space="preserve">ocal involvement in governance </w:t>
      </w:r>
      <w:r>
        <w:rPr>
          <w:rFonts w:ascii="Times New Roman" w:hAnsi="Times New Roman" w:cs="Times New Roman"/>
        </w:rPr>
        <w:t>also positively affects outcomes</w:t>
      </w:r>
      <w:r w:rsidRPr="00531BCA">
        <w:rPr>
          <w:rFonts w:ascii="Times New Roman" w:hAnsi="Times New Roman" w:cs="Times New Roman"/>
        </w:rPr>
        <w:t xml:space="preserve"> </w:t>
      </w:r>
      <w:r w:rsidRPr="00531BCA">
        <w:rPr>
          <w:rFonts w:ascii="Times New Roman" w:hAnsi="Times New Roman" w:cs="Times New Roman"/>
          <w:noProof/>
        </w:rPr>
        <w:t>(Persha et al., 2011)</w:t>
      </w:r>
      <w:r w:rsidRPr="00531BCA">
        <w:rPr>
          <w:rFonts w:ascii="Times New Roman" w:hAnsi="Times New Roman" w:cs="Times New Roman"/>
        </w:rPr>
        <w:t xml:space="preserve">. Some studies point to biophysical factors, such as large spatial extent and isolation as complements to enforcement </w:t>
      </w:r>
      <w:r>
        <w:rPr>
          <w:rFonts w:ascii="Times New Roman" w:hAnsi="Times New Roman" w:cs="Times New Roman"/>
          <w:noProof/>
        </w:rPr>
        <w:t>(Chhatre and Agrawal, 2009; Edgar et al., 2014)</w:t>
      </w:r>
      <w:r w:rsidRPr="00531BCA">
        <w:rPr>
          <w:rFonts w:ascii="Times New Roman" w:hAnsi="Times New Roman" w:cs="Times New Roman"/>
        </w:rPr>
        <w:t xml:space="preserve">.  </w:t>
      </w:r>
    </w:p>
    <w:p w:rsidR="00B00893" w:rsidRPr="00531BCA" w:rsidRDefault="00B00893" w:rsidP="004F2C66">
      <w:pPr>
        <w:spacing w:after="120"/>
        <w:jc w:val="both"/>
        <w:rPr>
          <w:rFonts w:ascii="Times New Roman" w:hAnsi="Times New Roman" w:cs="Times New Roman"/>
        </w:rPr>
      </w:pPr>
      <w:r w:rsidRPr="00531BCA">
        <w:rPr>
          <w:rFonts w:ascii="Times New Roman" w:hAnsi="Times New Roman" w:cs="Times New Roman"/>
        </w:rPr>
        <w:tab/>
        <w:t xml:space="preserve">For the purpose of understanding why some protected areas work better than others, these studies have limitations. Official self-reports, as used by </w:t>
      </w:r>
      <w:r>
        <w:rPr>
          <w:rFonts w:ascii="Times New Roman" w:hAnsi="Times New Roman" w:cs="Times New Roman"/>
          <w:noProof/>
        </w:rPr>
        <w:t>Bruner et al. (2001)</w:t>
      </w:r>
      <w:r w:rsidRPr="00531BCA">
        <w:rPr>
          <w:rFonts w:ascii="Times New Roman" w:hAnsi="Times New Roman" w:cs="Times New Roman"/>
        </w:rPr>
        <w:t>,</w:t>
      </w:r>
      <w:r>
        <w:rPr>
          <w:rFonts w:ascii="Times New Roman" w:hAnsi="Times New Roman" w:cs="Times New Roman"/>
        </w:rPr>
        <w:t xml:space="preserve"> </w:t>
      </w:r>
      <w:r w:rsidRPr="00531BCA">
        <w:rPr>
          <w:rFonts w:ascii="Times New Roman" w:hAnsi="Times New Roman" w:cs="Times New Roman"/>
          <w:noProof/>
        </w:rPr>
        <w:t xml:space="preserve">Leverington et al. </w:t>
      </w:r>
      <w:r w:rsidRPr="00531BCA">
        <w:rPr>
          <w:rFonts w:ascii="Times New Roman" w:hAnsi="Times New Roman" w:cs="Times New Roman"/>
          <w:noProof/>
        </w:rPr>
        <w:lastRenderedPageBreak/>
        <w:t>(2010)</w:t>
      </w:r>
      <w:r w:rsidRPr="00531BCA">
        <w:rPr>
          <w:rFonts w:ascii="Times New Roman" w:hAnsi="Times New Roman" w:cs="Times New Roman"/>
        </w:rPr>
        <w:t xml:space="preserve">, and others, are likely to be biased, since officials are more likely to report positive results about their work, and are also likely to report that they could do more with more funding, regardless of current funding </w:t>
      </w:r>
      <w:r w:rsidRPr="00531BCA">
        <w:rPr>
          <w:rFonts w:ascii="Times New Roman" w:hAnsi="Times New Roman" w:cs="Times New Roman"/>
          <w:noProof/>
        </w:rPr>
        <w:t>(Meier and O’Toole, 2013)</w:t>
      </w:r>
      <w:r w:rsidRPr="00531BCA">
        <w:rPr>
          <w:rFonts w:ascii="Times New Roman" w:hAnsi="Times New Roman" w:cs="Times New Roman"/>
        </w:rPr>
        <w:t xml:space="preserve">. Studies conducted at the community level report more reliable indicators of management success, such as forest conditions as measured by independent researchers </w:t>
      </w:r>
      <w:r w:rsidRPr="00531BCA">
        <w:rPr>
          <w:rFonts w:ascii="Times New Roman" w:hAnsi="Times New Roman" w:cs="Times New Roman"/>
          <w:noProof/>
        </w:rPr>
        <w:t>(Coleman et al., 2011)</w:t>
      </w:r>
      <w:r w:rsidRPr="00531BCA">
        <w:rPr>
          <w:rFonts w:ascii="Times New Roman" w:hAnsi="Times New Roman" w:cs="Times New Roman"/>
        </w:rPr>
        <w:t xml:space="preserve">. However, community level studies focus at a small spatial scale and on settled communities as opposed to agricultural frontiers, and thus it is not clear how findings from such studies apply to larger landscapes with remote areas that are lightly used by surrounding communities, as are present in many protected areas. Furthermore, while cross sectional designs can locate correlations between factors such as funding, enforcement, community involvement or isolation, they cannot establish causality </w:t>
      </w:r>
      <w:r w:rsidRPr="00531BCA">
        <w:rPr>
          <w:rFonts w:ascii="Times New Roman" w:hAnsi="Times New Roman" w:cs="Times New Roman"/>
          <w:noProof/>
        </w:rPr>
        <w:t>(George and Bennett, 2005)</w:t>
      </w:r>
      <w:r w:rsidRPr="00531BCA">
        <w:rPr>
          <w:rFonts w:ascii="Times New Roman" w:hAnsi="Times New Roman" w:cs="Times New Roman"/>
        </w:rPr>
        <w:t xml:space="preserve">. If isolation or local involvement is correlated with better protection, is isolation or local involvement a product of protected designations, or vice versa? These are fundamentally questions about historical development. Historical explanations are at the core of many forms of causal arguments accepted in the social sciences </w:t>
      </w:r>
      <w:r w:rsidRPr="00531BCA">
        <w:rPr>
          <w:rFonts w:ascii="Times New Roman" w:hAnsi="Times New Roman" w:cs="Times New Roman"/>
          <w:noProof/>
        </w:rPr>
        <w:t>(Beach and Pedersen, 2016)</w:t>
      </w:r>
      <w:r w:rsidRPr="00531BCA">
        <w:rPr>
          <w:rFonts w:ascii="Times New Roman" w:hAnsi="Times New Roman" w:cs="Times New Roman"/>
        </w:rPr>
        <w:t>, and thus their absence from this literature is a major oversight.</w:t>
      </w:r>
    </w:p>
    <w:p w:rsidR="00B00893" w:rsidRPr="00531BCA" w:rsidRDefault="00B00893" w:rsidP="00A7417B">
      <w:pPr>
        <w:spacing w:after="120"/>
        <w:jc w:val="both"/>
        <w:outlineLvl w:val="0"/>
        <w:rPr>
          <w:rFonts w:ascii="Times New Roman" w:hAnsi="Times New Roman" w:cs="Times New Roman"/>
          <w:b/>
        </w:rPr>
      </w:pPr>
      <w:r w:rsidRPr="00531BCA">
        <w:rPr>
          <w:rFonts w:ascii="Times New Roman" w:hAnsi="Times New Roman" w:cs="Times New Roman"/>
          <w:b/>
        </w:rPr>
        <w:t>2. BACKGROUND</w:t>
      </w:r>
      <w:r>
        <w:rPr>
          <w:rFonts w:ascii="Times New Roman" w:hAnsi="Times New Roman" w:cs="Times New Roman"/>
          <w:b/>
        </w:rPr>
        <w:t>: THE</w:t>
      </w:r>
      <w:r w:rsidRPr="00531BCA">
        <w:rPr>
          <w:rFonts w:ascii="Times New Roman" w:hAnsi="Times New Roman" w:cs="Times New Roman"/>
          <w:b/>
        </w:rPr>
        <w:t xml:space="preserve"> </w:t>
      </w:r>
      <w:r>
        <w:rPr>
          <w:rFonts w:ascii="Times New Roman" w:hAnsi="Times New Roman" w:cs="Times New Roman"/>
          <w:b/>
        </w:rPr>
        <w:t>MAYA</w:t>
      </w:r>
      <w:r w:rsidRPr="00531BCA">
        <w:rPr>
          <w:rFonts w:ascii="Times New Roman" w:hAnsi="Times New Roman" w:cs="Times New Roman"/>
          <w:b/>
        </w:rPr>
        <w:t xml:space="preserve"> </w:t>
      </w:r>
      <w:r>
        <w:rPr>
          <w:rFonts w:ascii="Times New Roman" w:hAnsi="Times New Roman" w:cs="Times New Roman"/>
          <w:b/>
        </w:rPr>
        <w:t>FOREST</w:t>
      </w:r>
    </w:p>
    <w:p w:rsidR="00B00893" w:rsidRPr="00531BCA" w:rsidRDefault="00B00893" w:rsidP="00D8367E">
      <w:pPr>
        <w:spacing w:after="120"/>
        <w:ind w:firstLine="720"/>
        <w:jc w:val="both"/>
        <w:rPr>
          <w:rFonts w:ascii="Times New Roman" w:hAnsi="Times New Roman" w:cs="Times New Roman"/>
        </w:rPr>
      </w:pPr>
      <w:r w:rsidRPr="00531BCA">
        <w:rPr>
          <w:rFonts w:ascii="Times New Roman" w:hAnsi="Times New Roman" w:cs="Times New Roman"/>
        </w:rPr>
        <w:t>Calakmul &amp; Maya Biosphere Reserves cover lands that were settled and then abandoned during the collapse of the Classic Maya civilization, approximately 900 CE. Calakmul is located in Southern Campeche, Mexico and Maya in northern Petén, Guatemala. These protected areas compose an ecological unit called Selva Maya, extending over 28,833 square kilometers straddling the Mexico-Guatemala border</w:t>
      </w:r>
      <w:r>
        <w:rPr>
          <w:rFonts w:ascii="Times New Roman" w:hAnsi="Times New Roman" w:cs="Times New Roman"/>
        </w:rPr>
        <w:t xml:space="preserve"> </w:t>
      </w:r>
      <w:r>
        <w:rPr>
          <w:rFonts w:ascii="Times New Roman" w:hAnsi="Times New Roman" w:cs="Times New Roman"/>
          <w:noProof/>
        </w:rPr>
        <w:t>(Primack et al., 1997)</w:t>
      </w:r>
      <w:r>
        <w:rPr>
          <w:rFonts w:ascii="Times New Roman" w:hAnsi="Times New Roman" w:cs="Times New Roman"/>
        </w:rPr>
        <w:t xml:space="preserve">, and provide a biological corridor linking Mexico and Central America </w:t>
      </w:r>
      <w:r>
        <w:rPr>
          <w:rFonts w:ascii="Times New Roman" w:hAnsi="Times New Roman" w:cs="Times New Roman"/>
          <w:noProof/>
        </w:rPr>
        <w:t>(CONAP, 2001b; INE, 1999)</w:t>
      </w:r>
      <w:r w:rsidRPr="00531BCA">
        <w:rPr>
          <w:rFonts w:ascii="Times New Roman" w:hAnsi="Times New Roman" w:cs="Times New Roman"/>
        </w:rPr>
        <w:t xml:space="preserve">. The Selva Maya is a conservation hot spot covered with old growth tropical forest that was reestablished over approximately 1000 years of scant </w:t>
      </w:r>
      <w:r>
        <w:rPr>
          <w:rFonts w:ascii="Times New Roman" w:hAnsi="Times New Roman" w:cs="Times New Roman"/>
        </w:rPr>
        <w:t>land use change</w:t>
      </w:r>
      <w:r w:rsidRPr="00531BCA">
        <w:rPr>
          <w:rFonts w:ascii="Times New Roman" w:hAnsi="Times New Roman" w:cs="Times New Roman"/>
        </w:rPr>
        <w:t xml:space="preserve"> following the Mayan collapse</w:t>
      </w:r>
      <w:r>
        <w:rPr>
          <w:rFonts w:ascii="Times New Roman" w:hAnsi="Times New Roman" w:cs="Times New Roman"/>
        </w:rPr>
        <w:t xml:space="preserve"> around AD 800-1000</w:t>
      </w:r>
      <w:r w:rsidRPr="00531BCA">
        <w:rPr>
          <w:rFonts w:ascii="Times New Roman" w:hAnsi="Times New Roman" w:cs="Times New Roman"/>
        </w:rPr>
        <w:t xml:space="preserve"> </w:t>
      </w:r>
      <w:r>
        <w:rPr>
          <w:rFonts w:ascii="Times New Roman" w:hAnsi="Times New Roman" w:cs="Times New Roman"/>
          <w:noProof/>
        </w:rPr>
        <w:t>(CI, 2012; Klepeis and Turner, 2001; Turner et al., 2003)</w:t>
      </w:r>
      <w:r w:rsidRPr="00531BCA">
        <w:rPr>
          <w:rFonts w:ascii="Times New Roman" w:hAnsi="Times New Roman" w:cs="Times New Roman"/>
        </w:rPr>
        <w:t xml:space="preserve">. </w:t>
      </w:r>
    </w:p>
    <w:p w:rsidR="00B00893" w:rsidRPr="00531BCA" w:rsidRDefault="00B00893" w:rsidP="00D61EFC">
      <w:pPr>
        <w:spacing w:after="120"/>
        <w:ind w:firstLine="720"/>
        <w:jc w:val="both"/>
        <w:rPr>
          <w:rFonts w:ascii="Times New Roman" w:hAnsi="Times New Roman" w:cs="Times New Roman"/>
        </w:rPr>
      </w:pPr>
      <w:r w:rsidRPr="00531BCA">
        <w:rPr>
          <w:rFonts w:ascii="Times New Roman" w:hAnsi="Times New Roman" w:cs="Times New Roman"/>
        </w:rPr>
        <w:t xml:space="preserve">From 900 CE until the 1970s, human uses in the Maya forest were largely confined to extraction of timber and non-timber forest products with minimal deforestation </w:t>
      </w:r>
      <w:r>
        <w:rPr>
          <w:rFonts w:ascii="Times New Roman" w:hAnsi="Times New Roman" w:cs="Times New Roman"/>
          <w:noProof/>
        </w:rPr>
        <w:t>(Schwartz, 1987; Turner et al., 2004)</w:t>
      </w:r>
      <w:r w:rsidRPr="00531BCA">
        <w:rPr>
          <w:rFonts w:ascii="Times New Roman" w:hAnsi="Times New Roman" w:cs="Times New Roman"/>
        </w:rPr>
        <w:t xml:space="preserve">. To fulfill land demands and protect their frontiers both governments encouraged migration to the Selva Maya beginning in the late 1960s </w:t>
      </w:r>
      <w:r>
        <w:rPr>
          <w:rFonts w:ascii="Times New Roman" w:hAnsi="Times New Roman" w:cs="Times New Roman"/>
          <w:noProof/>
        </w:rPr>
        <w:t>(Ponciano, 1997; Sundberg, 1998)</w:t>
      </w:r>
      <w:r w:rsidRPr="00531BCA">
        <w:rPr>
          <w:rFonts w:ascii="Times New Roman" w:hAnsi="Times New Roman" w:cs="Times New Roman"/>
        </w:rPr>
        <w:t xml:space="preserve">. Encouraged by the opportunity of getting land, indigenous and non-indigenous people from different regions within Mexico </w:t>
      </w:r>
      <w:r w:rsidRPr="00531BCA">
        <w:rPr>
          <w:rFonts w:ascii="Times New Roman" w:hAnsi="Times New Roman" w:cs="Times New Roman"/>
          <w:noProof/>
        </w:rPr>
        <w:t>(Calakmul, 2012)</w:t>
      </w:r>
      <w:r w:rsidRPr="00531BCA">
        <w:rPr>
          <w:rFonts w:ascii="Times New Roman" w:hAnsi="Times New Roman" w:cs="Times New Roman"/>
        </w:rPr>
        <w:t xml:space="preserve"> and Guatemala </w:t>
      </w:r>
      <w:r>
        <w:rPr>
          <w:rFonts w:ascii="Times New Roman" w:hAnsi="Times New Roman" w:cs="Times New Roman"/>
          <w:noProof/>
        </w:rPr>
        <w:t>(Grandia, 2009; Ybarra et al., 2012)</w:t>
      </w:r>
      <w:r w:rsidRPr="00531BCA">
        <w:rPr>
          <w:rFonts w:ascii="Times New Roman" w:hAnsi="Times New Roman" w:cs="Times New Roman"/>
        </w:rPr>
        <w:t>, migrated to the region, leading to widespread deforestation.</w:t>
      </w:r>
    </w:p>
    <w:p w:rsidR="00B00893" w:rsidRDefault="00B00893" w:rsidP="009C7E6C">
      <w:pPr>
        <w:spacing w:after="120"/>
        <w:ind w:firstLine="720"/>
        <w:jc w:val="both"/>
        <w:rPr>
          <w:rFonts w:ascii="Times New Roman" w:hAnsi="Times New Roman" w:cs="Times New Roman"/>
        </w:rPr>
      </w:pPr>
      <w:r w:rsidRPr="00531BCA">
        <w:rPr>
          <w:rFonts w:ascii="Times New Roman" w:hAnsi="Times New Roman" w:cs="Times New Roman"/>
        </w:rPr>
        <w:t>In the late 1980s deforestation came to the attention of national and international organizations and both countries designated biosphere reserves</w:t>
      </w:r>
      <w:r>
        <w:rPr>
          <w:rFonts w:ascii="Times New Roman" w:hAnsi="Times New Roman" w:cs="Times New Roman"/>
        </w:rPr>
        <w:t xml:space="preserve"> </w:t>
      </w:r>
      <w:r w:rsidR="00256C69">
        <w:rPr>
          <w:rFonts w:ascii="Times New Roman" w:hAnsi="Times New Roman" w:cs="Times New Roman"/>
          <w:noProof/>
        </w:rPr>
        <w:t>(Bray and Klepeis, 2005</w:t>
      </w:r>
      <w:r>
        <w:rPr>
          <w:rFonts w:ascii="Times New Roman" w:hAnsi="Times New Roman" w:cs="Times New Roman"/>
          <w:noProof/>
        </w:rPr>
        <w:t>)</w:t>
      </w:r>
      <w:r w:rsidRPr="00531BCA">
        <w:rPr>
          <w:rFonts w:ascii="Times New Roman" w:hAnsi="Times New Roman" w:cs="Times New Roman"/>
        </w:rPr>
        <w:t>. In 1989 the Calakmul Biosphere Reserve was created to protect 7,231 KM</w:t>
      </w:r>
      <w:r w:rsidRPr="00531BCA">
        <w:rPr>
          <w:rFonts w:ascii="Times New Roman" w:hAnsi="Times New Roman" w:cs="Times New Roman"/>
          <w:vertAlign w:val="superscript"/>
        </w:rPr>
        <w:t>2</w:t>
      </w:r>
      <w:r w:rsidRPr="00531BCA">
        <w:rPr>
          <w:rFonts w:ascii="Times New Roman" w:hAnsi="Times New Roman" w:cs="Times New Roman"/>
        </w:rPr>
        <w:t>, representing 0.003% of Mexico’s territory and 14% of Campeche State</w:t>
      </w:r>
      <w:r>
        <w:rPr>
          <w:rFonts w:ascii="Times New Roman" w:hAnsi="Times New Roman" w:cs="Times New Roman"/>
        </w:rPr>
        <w:t xml:space="preserve"> </w:t>
      </w:r>
      <w:r>
        <w:rPr>
          <w:rFonts w:ascii="Times New Roman" w:hAnsi="Times New Roman" w:cs="Times New Roman"/>
          <w:noProof/>
        </w:rPr>
        <w:t>(CONANP, 2000)</w:t>
      </w:r>
      <w:r w:rsidRPr="00531BCA">
        <w:rPr>
          <w:rFonts w:ascii="Times New Roman" w:hAnsi="Times New Roman" w:cs="Times New Roman"/>
        </w:rPr>
        <w:t>. I</w:t>
      </w:r>
      <w:r w:rsidRPr="00867F60">
        <w:rPr>
          <w:rFonts w:ascii="Times New Roman" w:hAnsi="Times New Roman" w:cs="Times New Roman"/>
        </w:rPr>
        <w:t xml:space="preserve">n 1990 the Maya Biosphere Reserve was </w:t>
      </w:r>
      <w:r w:rsidRPr="00531BCA">
        <w:rPr>
          <w:rFonts w:ascii="Times New Roman" w:hAnsi="Times New Roman" w:cs="Times New Roman"/>
        </w:rPr>
        <w:t>established protecting 21,129.40 KM</w:t>
      </w:r>
      <w:r w:rsidRPr="00531BCA">
        <w:rPr>
          <w:rFonts w:ascii="Times New Roman" w:hAnsi="Times New Roman" w:cs="Times New Roman"/>
          <w:vertAlign w:val="superscript"/>
        </w:rPr>
        <w:t>2</w:t>
      </w:r>
      <w:r w:rsidRPr="00531BCA">
        <w:rPr>
          <w:rFonts w:ascii="Times New Roman" w:hAnsi="Times New Roman" w:cs="Times New Roman"/>
        </w:rPr>
        <w:t xml:space="preserve">. Maya represents ~20% of Guatemala’s surface and ~63% of Petén’s </w:t>
      </w:r>
      <w:r w:rsidRPr="00531BCA">
        <w:rPr>
          <w:rFonts w:ascii="Times New Roman" w:hAnsi="Times New Roman" w:cs="Times New Roman"/>
          <w:noProof/>
        </w:rPr>
        <w:t>(CONAP, 2001b)</w:t>
      </w:r>
      <w:r w:rsidRPr="00531BCA">
        <w:rPr>
          <w:rFonts w:ascii="Times New Roman" w:hAnsi="Times New Roman" w:cs="Times New Roman"/>
        </w:rPr>
        <w:t>. Despite this protection</w:t>
      </w:r>
      <w:r>
        <w:rPr>
          <w:rFonts w:ascii="Times New Roman" w:hAnsi="Times New Roman" w:cs="Times New Roman"/>
        </w:rPr>
        <w:t>,</w:t>
      </w:r>
      <w:r w:rsidRPr="00531BCA">
        <w:rPr>
          <w:rFonts w:ascii="Times New Roman" w:hAnsi="Times New Roman" w:cs="Times New Roman"/>
        </w:rPr>
        <w:t xml:space="preserve"> the conservation of this forested region and continuous production of ecosystem services is uncertain as land use change continues in both sides of the border </w:t>
      </w:r>
      <w:r>
        <w:rPr>
          <w:rFonts w:ascii="Times New Roman" w:hAnsi="Times New Roman" w:cs="Times New Roman"/>
          <w:noProof/>
        </w:rPr>
        <w:t>(Alonso-Fradejas, 2015; Ellis et al., 2017a; Ellis et al., 2017b; Escalón, 2017; Jordan et al., 2015; Monzón-Alvarado et al., 2012; Rodriguez Solórzano, 2014; Steven et al., 2017)</w:t>
      </w:r>
      <w:r w:rsidRPr="00531BCA">
        <w:rPr>
          <w:rFonts w:ascii="Times New Roman" w:hAnsi="Times New Roman" w:cs="Times New Roman"/>
        </w:rPr>
        <w:t xml:space="preserve">. </w:t>
      </w:r>
    </w:p>
    <w:p w:rsidR="00B00893" w:rsidRPr="00531BCA" w:rsidRDefault="00B00893" w:rsidP="00CC758E">
      <w:pPr>
        <w:spacing w:after="120"/>
        <w:ind w:firstLine="720"/>
        <w:jc w:val="both"/>
        <w:rPr>
          <w:rFonts w:ascii="Times New Roman" w:hAnsi="Times New Roman" w:cs="Times New Roman"/>
        </w:rPr>
      </w:pPr>
      <w:r w:rsidRPr="00531BCA">
        <w:rPr>
          <w:rFonts w:ascii="Times New Roman" w:hAnsi="Times New Roman" w:cs="Times New Roman"/>
        </w:rPr>
        <w:t xml:space="preserve">The Maya Biosphere Reserve in Guatemala is divided into nucleus, multiple use and buffer zones, under the coordination of the National Council of Protected Areas (CONAP). The nucleus </w:t>
      </w:r>
      <w:r w:rsidRPr="00531BCA">
        <w:rPr>
          <w:rFonts w:ascii="Times New Roman" w:hAnsi="Times New Roman" w:cs="Times New Roman"/>
        </w:rPr>
        <w:lastRenderedPageBreak/>
        <w:t xml:space="preserve">zone </w:t>
      </w:r>
      <w:r>
        <w:rPr>
          <w:rFonts w:ascii="Times New Roman" w:hAnsi="Times New Roman" w:cs="Times New Roman"/>
        </w:rPr>
        <w:t>consists of</w:t>
      </w:r>
      <w:r w:rsidRPr="00531BCA">
        <w:rPr>
          <w:rFonts w:ascii="Times New Roman" w:hAnsi="Times New Roman" w:cs="Times New Roman"/>
        </w:rPr>
        <w:t xml:space="preserve"> several independent national parks. While some national parks have stable land cover, others have seen dramatic loss of forest since designation </w:t>
      </w:r>
      <w:r w:rsidRPr="00531BCA">
        <w:rPr>
          <w:rFonts w:ascii="Times New Roman" w:hAnsi="Times New Roman" w:cs="Times New Roman"/>
          <w:noProof/>
        </w:rPr>
        <w:t>(Escalón, 2017)</w:t>
      </w:r>
      <w:r w:rsidRPr="00531BCA">
        <w:rPr>
          <w:rFonts w:ascii="Times New Roman" w:hAnsi="Times New Roman" w:cs="Times New Roman"/>
        </w:rPr>
        <w:t>. The multiple use zone is subdivided into several forest concessions</w:t>
      </w:r>
      <w:r>
        <w:rPr>
          <w:rFonts w:ascii="Times New Roman" w:hAnsi="Times New Roman" w:cs="Times New Roman"/>
        </w:rPr>
        <w:t>, some of which are community managed</w:t>
      </w:r>
      <w:r w:rsidRPr="00531BCA">
        <w:rPr>
          <w:rFonts w:ascii="Times New Roman" w:hAnsi="Times New Roman" w:cs="Times New Roman"/>
        </w:rPr>
        <w:t>. Concession holders extract timber and non-timber forest products, but are not permitted to engage in agriculture in</w:t>
      </w:r>
      <w:r>
        <w:rPr>
          <w:rFonts w:ascii="Times New Roman" w:hAnsi="Times New Roman" w:cs="Times New Roman"/>
        </w:rPr>
        <w:t>side of</w:t>
      </w:r>
      <w:r w:rsidRPr="00531BCA">
        <w:rPr>
          <w:rFonts w:ascii="Times New Roman" w:hAnsi="Times New Roman" w:cs="Times New Roman"/>
        </w:rPr>
        <w:t xml:space="preserve"> the concession. The Association of Forest Communities from Petén (ACOFOP) represents the common interests of the community forest concessions. As with the national parks, some concessions have been more successful than others in preventing land use change. Local communities inhabit the buffer zone, which has also seen heavy deforestation. Some communities have members participating in the forest concessions on the east side of the Maya Biosphere Reserve</w:t>
      </w:r>
      <w:r>
        <w:rPr>
          <w:rFonts w:ascii="Times New Roman" w:hAnsi="Times New Roman" w:cs="Times New Roman"/>
        </w:rPr>
        <w:t>, but most inhabitants of the buffer zone are not involved with the concessions</w:t>
      </w:r>
      <w:r w:rsidRPr="00531BCA">
        <w:rPr>
          <w:rFonts w:ascii="Times New Roman" w:hAnsi="Times New Roman" w:cs="Times New Roman"/>
        </w:rPr>
        <w:t>.</w:t>
      </w:r>
    </w:p>
    <w:p w:rsidR="00B00893" w:rsidRPr="00531BCA" w:rsidRDefault="00B00893" w:rsidP="00CC758E">
      <w:pPr>
        <w:spacing w:after="120"/>
        <w:ind w:firstLine="720"/>
        <w:jc w:val="both"/>
        <w:rPr>
          <w:rFonts w:ascii="Times New Roman" w:hAnsi="Times New Roman" w:cs="Times New Roman"/>
        </w:rPr>
      </w:pPr>
      <w:r w:rsidRPr="00531BCA">
        <w:rPr>
          <w:rFonts w:ascii="Times New Roman" w:hAnsi="Times New Roman" w:cs="Times New Roman"/>
        </w:rPr>
        <w:t xml:space="preserve">The smaller Calakmul biosphere in Mexico is divided into a nucleus and buffer zone; it does not have a multiple use zone. The National Commission of Protected Areas (CONANP) manages the nucleus zone. The buffer zone is inhabited and managed by local communities. </w:t>
      </w:r>
      <w:r>
        <w:rPr>
          <w:rFonts w:ascii="Times New Roman" w:hAnsi="Times New Roman" w:cs="Times New Roman"/>
        </w:rPr>
        <w:t>The</w:t>
      </w:r>
      <w:r w:rsidRPr="00531BCA">
        <w:rPr>
          <w:rFonts w:ascii="Times New Roman" w:hAnsi="Times New Roman" w:cs="Times New Roman"/>
        </w:rPr>
        <w:t xml:space="preserve"> Calakmul biosphere reserve is managed through a single administrative unit. Although land cover in the nucleus zone has been fairly stable, the buffer zone has experienced large land use</w:t>
      </w:r>
      <w:r>
        <w:rPr>
          <w:rFonts w:ascii="Times New Roman" w:hAnsi="Times New Roman" w:cs="Times New Roman"/>
        </w:rPr>
        <w:t xml:space="preserve"> </w:t>
      </w:r>
      <w:r w:rsidRPr="00531BCA">
        <w:rPr>
          <w:rFonts w:ascii="Times New Roman" w:hAnsi="Times New Roman" w:cs="Times New Roman"/>
        </w:rPr>
        <w:t>change</w:t>
      </w:r>
      <w:r>
        <w:rPr>
          <w:rFonts w:ascii="Times New Roman" w:hAnsi="Times New Roman" w:cs="Times New Roman"/>
        </w:rPr>
        <w:t xml:space="preserve"> </w:t>
      </w:r>
      <w:r w:rsidRPr="00531BCA">
        <w:rPr>
          <w:rFonts w:ascii="Times New Roman" w:hAnsi="Times New Roman" w:cs="Times New Roman"/>
        </w:rPr>
        <w:t>derived from the expansion of subsistence and commercial agriculture</w:t>
      </w:r>
      <w:r>
        <w:rPr>
          <w:rFonts w:ascii="Times New Roman" w:hAnsi="Times New Roman" w:cs="Times New Roman"/>
        </w:rPr>
        <w:t>, agricultural subsidies</w:t>
      </w:r>
      <w:r w:rsidRPr="00531BCA">
        <w:rPr>
          <w:rFonts w:ascii="Times New Roman" w:hAnsi="Times New Roman" w:cs="Times New Roman"/>
        </w:rPr>
        <w:t xml:space="preserve"> and more recently small scale cattle ranching </w:t>
      </w:r>
      <w:r>
        <w:rPr>
          <w:rFonts w:ascii="Times New Roman" w:hAnsi="Times New Roman" w:cs="Times New Roman"/>
          <w:noProof/>
        </w:rPr>
        <w:t>(Busch and Vance, 2011; Chowdhury, 2006, 2007; Keys, 2004)</w:t>
      </w:r>
      <w:r w:rsidRPr="00531BCA">
        <w:rPr>
          <w:rFonts w:ascii="Times New Roman" w:hAnsi="Times New Roman" w:cs="Times New Roman"/>
        </w:rPr>
        <w:t xml:space="preserve">. </w:t>
      </w:r>
    </w:p>
    <w:p w:rsidR="00B00893" w:rsidRPr="00531BCA" w:rsidRDefault="00B00893" w:rsidP="00040CAD">
      <w:pPr>
        <w:spacing w:after="120"/>
        <w:ind w:firstLine="720"/>
        <w:jc w:val="both"/>
        <w:rPr>
          <w:rFonts w:ascii="Times New Roman" w:hAnsi="Times New Roman" w:cs="Times New Roman"/>
        </w:rPr>
      </w:pPr>
    </w:p>
    <w:p w:rsidR="00B00893" w:rsidRPr="00531BCA" w:rsidRDefault="00B00893" w:rsidP="00A7417B">
      <w:pPr>
        <w:spacing w:after="120"/>
        <w:jc w:val="both"/>
        <w:outlineLvl w:val="0"/>
        <w:rPr>
          <w:rFonts w:ascii="Times New Roman" w:hAnsi="Times New Roman" w:cs="Times New Roman"/>
          <w:b/>
        </w:rPr>
      </w:pPr>
      <w:r w:rsidRPr="00531BCA">
        <w:rPr>
          <w:rFonts w:ascii="Times New Roman" w:hAnsi="Times New Roman" w:cs="Times New Roman"/>
          <w:b/>
        </w:rPr>
        <w:t>3. METHODS</w:t>
      </w:r>
    </w:p>
    <w:p w:rsidR="00B00893" w:rsidRPr="00531BCA" w:rsidRDefault="00B00893" w:rsidP="00A7417B">
      <w:pPr>
        <w:spacing w:after="120"/>
        <w:jc w:val="both"/>
        <w:outlineLvl w:val="0"/>
        <w:rPr>
          <w:rFonts w:ascii="Times New Roman" w:hAnsi="Times New Roman" w:cs="Times New Roman"/>
          <w:b/>
        </w:rPr>
      </w:pPr>
      <w:r w:rsidRPr="00531BCA">
        <w:rPr>
          <w:rFonts w:ascii="Times New Roman" w:hAnsi="Times New Roman" w:cs="Times New Roman"/>
          <w:b/>
        </w:rPr>
        <w:t>3.1 Data Collection</w:t>
      </w:r>
    </w:p>
    <w:p w:rsidR="00B00893" w:rsidRPr="00531BCA" w:rsidRDefault="00B00893" w:rsidP="000E2905">
      <w:pPr>
        <w:spacing w:after="120"/>
        <w:ind w:firstLine="720"/>
        <w:jc w:val="both"/>
        <w:rPr>
          <w:rFonts w:ascii="Times New Roman" w:hAnsi="Times New Roman" w:cs="Times New Roman"/>
        </w:rPr>
      </w:pPr>
      <w:r w:rsidRPr="00531BCA">
        <w:rPr>
          <w:rFonts w:ascii="Times New Roman" w:hAnsi="Times New Roman" w:cs="Times New Roman"/>
        </w:rPr>
        <w:t xml:space="preserve">From August 2007 to August 2009 the first author conducted field research in 46 randomly selected communities, 30 from Calakmul and 16 from Maya. </w:t>
      </w:r>
      <w:r>
        <w:rPr>
          <w:rFonts w:ascii="Times New Roman" w:hAnsi="Times New Roman" w:cs="Times New Roman"/>
        </w:rPr>
        <w:t xml:space="preserve">The communities studied in Calakmul are in the buffer zone, except for two with some land falling within the core zone. Communities in Maya are spread among the buffer zone, multiple use zone and some have some land within national parks. </w:t>
      </w:r>
      <w:r w:rsidRPr="00531BCA">
        <w:rPr>
          <w:rFonts w:ascii="Times New Roman" w:hAnsi="Times New Roman" w:cs="Times New Roman"/>
        </w:rPr>
        <w:t xml:space="preserve">Figure 1 shows the approximate location of these communities. </w:t>
      </w:r>
    </w:p>
    <w:p w:rsidR="00B00893" w:rsidRPr="00531BCA" w:rsidRDefault="00B00893" w:rsidP="007E544D">
      <w:pPr>
        <w:spacing w:after="120"/>
        <w:ind w:firstLine="720"/>
        <w:jc w:val="both"/>
        <w:rPr>
          <w:rFonts w:ascii="Times New Roman" w:hAnsi="Times New Roman" w:cs="Times New Roman"/>
        </w:rPr>
      </w:pPr>
      <w:r w:rsidRPr="00531BCA">
        <w:rPr>
          <w:rFonts w:ascii="Times New Roman" w:hAnsi="Times New Roman" w:cs="Times New Roman"/>
        </w:rPr>
        <w:t>In each community the first author interviewed three types of community members: 1) formal community authorities; 2) key informants, such as community leaders; 3) randomly selected heads of households</w:t>
      </w:r>
      <w:r>
        <w:rPr>
          <w:rFonts w:ascii="Times New Roman" w:hAnsi="Times New Roman" w:cs="Times New Roman"/>
        </w:rPr>
        <w:t xml:space="preserve"> – </w:t>
      </w:r>
      <w:r w:rsidRPr="00531BCA">
        <w:rPr>
          <w:rFonts w:ascii="Times New Roman" w:hAnsi="Times New Roman" w:cs="Times New Roman"/>
        </w:rPr>
        <w:t>a total of 353 interviewees. All interviewees provided information about the demographic, economic, and ecological characteristics of their family and land. Interviewees provided information about their household, in addition to in depth knowledge about the institutions and governance operating at the community and biosphere reserve level. The data collected during the interviews enable both quantitative and qualitative analysis of conservation actions and the governance and institutional factors influencing farmers’ behavior. Since all of them work in agriculture we will refer to this group as farmers in this paper. The first author also interviewed 53 people representing councils, forest concessions, governmental, non-governmental, and donor organizations associated with conservation, social welfare and rural development goals in both biosphere reserves. These organizations represented the biosphere reserves, as well as municipal, state and federal governments. These interviewees provided in depth knowledge related to the institutions defining the participation mechanisms available in each biosphere reserve.</w:t>
      </w:r>
      <w:r>
        <w:rPr>
          <w:rFonts w:ascii="Times New Roman" w:hAnsi="Times New Roman" w:cs="Times New Roman"/>
        </w:rPr>
        <w:t xml:space="preserve"> The first author also observed councils </w:t>
      </w:r>
      <w:r w:rsidRPr="00531BCA">
        <w:rPr>
          <w:rFonts w:ascii="Times New Roman" w:hAnsi="Times New Roman" w:cs="Times New Roman"/>
        </w:rPr>
        <w:t>operating at the community, region, municipality, and biosphere reserve level</w:t>
      </w:r>
      <w:r>
        <w:rPr>
          <w:rFonts w:ascii="Times New Roman" w:hAnsi="Times New Roman" w:cs="Times New Roman"/>
        </w:rPr>
        <w:t xml:space="preserve">. </w:t>
      </w:r>
      <w:r w:rsidRPr="00531BCA">
        <w:rPr>
          <w:rFonts w:ascii="Times New Roman" w:hAnsi="Times New Roman" w:cs="Times New Roman"/>
        </w:rPr>
        <w:t>Follow-up interviews were performed during revisits to Calakmul in 2014 and 2015, and Maya in 2016.</w:t>
      </w:r>
    </w:p>
    <w:p w:rsidR="00B00893" w:rsidRPr="00531BCA" w:rsidRDefault="00B00893" w:rsidP="00A40D64">
      <w:pPr>
        <w:spacing w:after="120"/>
        <w:jc w:val="both"/>
        <w:rPr>
          <w:rFonts w:ascii="Times New Roman" w:hAnsi="Times New Roman" w:cs="Times New Roman"/>
          <w:b/>
        </w:rPr>
      </w:pPr>
    </w:p>
    <w:p w:rsidR="00B00893" w:rsidRPr="00531BCA" w:rsidRDefault="00B00893" w:rsidP="00A7417B">
      <w:pPr>
        <w:spacing w:after="120"/>
        <w:jc w:val="both"/>
        <w:outlineLvl w:val="0"/>
        <w:rPr>
          <w:rFonts w:ascii="Times New Roman" w:hAnsi="Times New Roman" w:cs="Times New Roman"/>
          <w:b/>
        </w:rPr>
      </w:pPr>
      <w:r w:rsidRPr="00531BCA">
        <w:rPr>
          <w:rFonts w:ascii="Times New Roman" w:hAnsi="Times New Roman" w:cs="Times New Roman"/>
          <w:b/>
        </w:rPr>
        <w:t>Figure 1: Calakmul &amp; Maya Biosphere Reserves</w:t>
      </w:r>
    </w:p>
    <w:p w:rsidR="00B00893" w:rsidRPr="00531BCA" w:rsidRDefault="00B00893" w:rsidP="00A40D64">
      <w:pPr>
        <w:spacing w:after="120"/>
        <w:jc w:val="both"/>
        <w:rPr>
          <w:rFonts w:ascii="Times New Roman" w:hAnsi="Times New Roman" w:cs="Times New Roman"/>
          <w:b/>
        </w:rPr>
      </w:pPr>
      <w:r w:rsidRPr="00531BCA">
        <w:rPr>
          <w:rFonts w:ascii="Times New Roman" w:hAnsi="Times New Roman" w:cs="Times New Roman"/>
          <w:b/>
          <w:noProof/>
          <w:lang w:eastAsia="en-US"/>
        </w:rPr>
        <w:drawing>
          <wp:inline distT="0" distB="0" distL="0" distR="0" wp14:anchorId="1D72251B" wp14:editId="287BBB35">
            <wp:extent cx="3314065" cy="342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575" cy="3429528"/>
                    </a:xfrm>
                    <a:prstGeom prst="rect">
                      <a:avLst/>
                    </a:prstGeom>
                    <a:noFill/>
                    <a:ln>
                      <a:noFill/>
                    </a:ln>
                  </pic:spPr>
                </pic:pic>
              </a:graphicData>
            </a:graphic>
          </wp:inline>
        </w:drawing>
      </w:r>
    </w:p>
    <w:p w:rsidR="00B00893" w:rsidRPr="00531BCA" w:rsidRDefault="00B00893" w:rsidP="00A7417B">
      <w:pPr>
        <w:spacing w:after="120"/>
        <w:jc w:val="both"/>
        <w:outlineLvl w:val="0"/>
        <w:rPr>
          <w:rFonts w:ascii="Times New Roman" w:hAnsi="Times New Roman" w:cs="Times New Roman"/>
          <w:b/>
        </w:rPr>
      </w:pPr>
      <w:r w:rsidRPr="00531BCA">
        <w:rPr>
          <w:rFonts w:ascii="Times New Roman" w:hAnsi="Times New Roman" w:cs="Times New Roman"/>
          <w:b/>
        </w:rPr>
        <w:t>3.2 Measuring conservation outcomes</w:t>
      </w:r>
    </w:p>
    <w:p w:rsidR="00B00893" w:rsidRPr="00531BCA" w:rsidRDefault="00B00893" w:rsidP="008E05AB">
      <w:pPr>
        <w:spacing w:after="120"/>
        <w:jc w:val="both"/>
        <w:rPr>
          <w:rFonts w:ascii="Times New Roman" w:hAnsi="Times New Roman" w:cs="Times New Roman"/>
        </w:rPr>
      </w:pPr>
      <w:r w:rsidRPr="00531BCA">
        <w:rPr>
          <w:rFonts w:ascii="Times New Roman" w:hAnsi="Times New Roman" w:cs="Times New Roman"/>
        </w:rPr>
        <w:tab/>
        <w:t xml:space="preserve">Just as protected areas may be established to achieve multiple goals, there are many potential measures of the effectiveness of protected areas. We focus on one measure of effectiveness in our analysis: the conservation behavior of individual farmers. Farmers and communities in this region possess de facto rights to make management decisions over modest areas of land (typically ranging from 20-300 hectares for individual farmers, ranging up to tens of thousands of hectares for the larger communities). Farmers and communities may choose to deforest these lands to provide room for pastures, permanent fields, or swidden cultivation, or they may choose to maintain them in forest in order to hold them in reserve for the future and/or for the harvesting of various forest products, such as timber, honey, or wild meat. Based on data farmers provided, conservation outcomes are measured at the farmer and community level. At the farmer level we used three indicators to assess conservation behavior: 1) </w:t>
      </w:r>
      <w:r w:rsidRPr="00531BCA">
        <w:rPr>
          <w:rFonts w:ascii="Times New Roman" w:hAnsi="Times New Roman" w:cs="Times New Roman"/>
          <w:i/>
        </w:rPr>
        <w:t>farmers’ willingness to conserve</w:t>
      </w:r>
      <w:r w:rsidRPr="00531BCA">
        <w:rPr>
          <w:rFonts w:ascii="Times New Roman" w:hAnsi="Times New Roman" w:cs="Times New Roman"/>
        </w:rPr>
        <w:t xml:space="preserve">: farmer’s stated willingness to conserve old growth forest without receiving economic compensation (0=none to 3=high), 2) </w:t>
      </w:r>
      <w:r w:rsidRPr="00531BCA">
        <w:rPr>
          <w:rFonts w:ascii="Times New Roman" w:hAnsi="Times New Roman" w:cs="Times New Roman"/>
          <w:i/>
        </w:rPr>
        <w:t>farmers’ reserve</w:t>
      </w:r>
      <w:r w:rsidRPr="00531BCA">
        <w:rPr>
          <w:rFonts w:ascii="Times New Roman" w:hAnsi="Times New Roman" w:cs="Times New Roman"/>
        </w:rPr>
        <w:t xml:space="preserve">: farmers’ voluntary creation of a designated forest reserve within their plot (yes/no) and 3) </w:t>
      </w:r>
      <w:r w:rsidRPr="00531BCA">
        <w:rPr>
          <w:rFonts w:ascii="Times New Roman" w:hAnsi="Times New Roman" w:cs="Times New Roman"/>
          <w:i/>
        </w:rPr>
        <w:t>farmers’ forest</w:t>
      </w:r>
      <w:r w:rsidRPr="00531BCA">
        <w:rPr>
          <w:rFonts w:ascii="Times New Roman" w:hAnsi="Times New Roman" w:cs="Times New Roman"/>
        </w:rPr>
        <w:t xml:space="preserve">: percentage of farmers’ plot covered with old growth forest (number of hectares covered with old growth forest/ plot total number of hectares). While the first indicator is only an expression of conservation </w:t>
      </w:r>
      <w:r>
        <w:rPr>
          <w:rFonts w:ascii="Times New Roman" w:hAnsi="Times New Roman" w:cs="Times New Roman"/>
        </w:rPr>
        <w:t>commitment</w:t>
      </w:r>
      <w:r w:rsidRPr="00531BCA">
        <w:rPr>
          <w:rFonts w:ascii="Times New Roman" w:hAnsi="Times New Roman" w:cs="Times New Roman"/>
        </w:rPr>
        <w:t xml:space="preserve">, the second and third indicators are </w:t>
      </w:r>
      <w:r w:rsidRPr="00867F60">
        <w:rPr>
          <w:rFonts w:ascii="Times New Roman" w:hAnsi="Times New Roman" w:cs="Times New Roman"/>
        </w:rPr>
        <w:t>indicators of conservation behavior</w:t>
      </w:r>
      <w:r>
        <w:rPr>
          <w:rFonts w:ascii="Times New Roman" w:hAnsi="Times New Roman" w:cs="Times New Roman"/>
        </w:rPr>
        <w:t>, that show whether people conserve or not</w:t>
      </w:r>
      <w:r w:rsidRPr="00867F60">
        <w:rPr>
          <w:rFonts w:ascii="Times New Roman" w:hAnsi="Times New Roman" w:cs="Times New Roman"/>
        </w:rPr>
        <w:t xml:space="preserve">. Together these three indicators provide a good sense of farmers’ position towards forest conservation.  </w:t>
      </w:r>
      <w:bookmarkStart w:id="2" w:name="_Hlk499244062"/>
      <w:r w:rsidRPr="00867F60">
        <w:rPr>
          <w:rFonts w:ascii="Times New Roman" w:hAnsi="Times New Roman" w:cs="Times New Roman"/>
        </w:rPr>
        <w:t xml:space="preserve">Although self-reports of area cleared may be </w:t>
      </w:r>
      <w:r>
        <w:rPr>
          <w:rFonts w:ascii="Times New Roman" w:hAnsi="Times New Roman" w:cs="Times New Roman"/>
        </w:rPr>
        <w:t>biased</w:t>
      </w:r>
      <w:r w:rsidRPr="00867F60">
        <w:rPr>
          <w:rFonts w:ascii="Times New Roman" w:hAnsi="Times New Roman" w:cs="Times New Roman"/>
        </w:rPr>
        <w:t xml:space="preserve">, the absence of cadastral surveys in most of this region make obtaining independent estimates of land clearing by individuals prohibitively expensive and, given the presence of illegal activities in parts of the region </w:t>
      </w:r>
      <w:r w:rsidRPr="00531BCA">
        <w:rPr>
          <w:rFonts w:ascii="Times New Roman" w:hAnsi="Times New Roman" w:cs="Times New Roman"/>
          <w:noProof/>
        </w:rPr>
        <w:t>(Steven et al., 2017)</w:t>
      </w:r>
      <w:r w:rsidRPr="00531BCA">
        <w:rPr>
          <w:rFonts w:ascii="Times New Roman" w:hAnsi="Times New Roman" w:cs="Times New Roman"/>
        </w:rPr>
        <w:t>, potentially dangerous.</w:t>
      </w:r>
      <w:bookmarkEnd w:id="2"/>
    </w:p>
    <w:p w:rsidR="00B00893" w:rsidRPr="00867F60" w:rsidRDefault="00B00893" w:rsidP="007E6260">
      <w:pPr>
        <w:spacing w:after="120"/>
        <w:ind w:firstLine="720"/>
        <w:jc w:val="both"/>
        <w:rPr>
          <w:rFonts w:ascii="Times New Roman" w:hAnsi="Times New Roman" w:cs="Times New Roman"/>
        </w:rPr>
      </w:pPr>
      <w:r w:rsidRPr="00867F60">
        <w:rPr>
          <w:rFonts w:ascii="Times New Roman" w:hAnsi="Times New Roman" w:cs="Times New Roman"/>
        </w:rPr>
        <w:lastRenderedPageBreak/>
        <w:t xml:space="preserve">At the community level we measured conservation outcomes using 2 indicators: 1) </w:t>
      </w:r>
      <w:r w:rsidRPr="00867F60">
        <w:rPr>
          <w:rFonts w:ascii="Times New Roman" w:hAnsi="Times New Roman" w:cs="Times New Roman"/>
          <w:i/>
        </w:rPr>
        <w:t>community forest</w:t>
      </w:r>
      <w:r w:rsidRPr="00867F60">
        <w:rPr>
          <w:rFonts w:ascii="Times New Roman" w:hAnsi="Times New Roman" w:cs="Times New Roman"/>
        </w:rPr>
        <w:t xml:space="preserve">: percentage of the community covered with old growth forest, and 2) </w:t>
      </w:r>
      <w:r w:rsidRPr="00867F60">
        <w:rPr>
          <w:rFonts w:ascii="Times New Roman" w:hAnsi="Times New Roman" w:cs="Times New Roman"/>
          <w:i/>
        </w:rPr>
        <w:t>community reserve</w:t>
      </w:r>
      <w:r w:rsidRPr="00867F60">
        <w:rPr>
          <w:rFonts w:ascii="Times New Roman" w:hAnsi="Times New Roman" w:cs="Times New Roman"/>
        </w:rPr>
        <w:t xml:space="preserve">: community creation of a formal forest reserve within community land. Community forest was estimated based on the perception of households of the number of hectares of old growth forest remaining in the community. Every interviewee was asked to estimate the number of hectares covered with old-growth forest in the community and the percentage of the community land that has been cleared. Farmers also reported the presence or absence of a community forest reserve and the state of the community forest reserve -consolidated or in progress. Relying on farmer’s estimates was the best assessment </w:t>
      </w:r>
      <w:r>
        <w:rPr>
          <w:rFonts w:ascii="Times New Roman" w:hAnsi="Times New Roman" w:cs="Times New Roman"/>
        </w:rPr>
        <w:t xml:space="preserve">of conservation area </w:t>
      </w:r>
      <w:r w:rsidRPr="00867F60">
        <w:rPr>
          <w:rFonts w:ascii="Times New Roman" w:hAnsi="Times New Roman" w:cs="Times New Roman"/>
        </w:rPr>
        <w:t>available and the answers provided by farmers were similar, which allows using an average of their answers with confidence about the reliability of the data.</w:t>
      </w:r>
    </w:p>
    <w:p w:rsidR="00B00893" w:rsidRPr="00867F60" w:rsidRDefault="00B00893" w:rsidP="008E05AB">
      <w:pPr>
        <w:spacing w:after="120"/>
        <w:ind w:firstLine="720"/>
        <w:jc w:val="both"/>
        <w:rPr>
          <w:rFonts w:ascii="Times New Roman" w:hAnsi="Times New Roman" w:cs="Times New Roman"/>
        </w:rPr>
      </w:pPr>
      <w:r w:rsidRPr="00867F60">
        <w:rPr>
          <w:rFonts w:ascii="Times New Roman" w:hAnsi="Times New Roman" w:cs="Times New Roman"/>
        </w:rPr>
        <w:t xml:space="preserve">Using multiple indicators for conservation commitment at the farmer and community level, as well as using actual conservation outcomes at the individual and community level helps to crosscheck the consistency of farmers’ answers. For instance, there could be contradiction between conservation actions and revealed willingness to conserve. This </w:t>
      </w:r>
      <w:r>
        <w:rPr>
          <w:rFonts w:ascii="Times New Roman" w:hAnsi="Times New Roman" w:cs="Times New Roman"/>
        </w:rPr>
        <w:t xml:space="preserve">could </w:t>
      </w:r>
      <w:r w:rsidRPr="00867F60">
        <w:rPr>
          <w:rFonts w:ascii="Times New Roman" w:hAnsi="Times New Roman" w:cs="Times New Roman"/>
        </w:rPr>
        <w:t xml:space="preserve">be the case when people are conserving forest and yet say they are not willing to conserve because </w:t>
      </w:r>
      <w:r>
        <w:rPr>
          <w:rFonts w:ascii="Times New Roman" w:hAnsi="Times New Roman" w:cs="Times New Roman"/>
        </w:rPr>
        <w:t xml:space="preserve">they wish to receive compensation for their </w:t>
      </w:r>
      <w:r w:rsidRPr="00867F60">
        <w:rPr>
          <w:rFonts w:ascii="Times New Roman" w:hAnsi="Times New Roman" w:cs="Times New Roman"/>
        </w:rPr>
        <w:t xml:space="preserve">conservation. Alternatively, some people might </w:t>
      </w:r>
      <w:r>
        <w:rPr>
          <w:rFonts w:ascii="Times New Roman" w:hAnsi="Times New Roman" w:cs="Times New Roman"/>
        </w:rPr>
        <w:t>state a willingness to conserve to avoid verbal confrontation with conservation policies even as they</w:t>
      </w:r>
      <w:r w:rsidRPr="00867F60">
        <w:rPr>
          <w:rFonts w:ascii="Times New Roman" w:hAnsi="Times New Roman" w:cs="Times New Roman"/>
        </w:rPr>
        <w:t xml:space="preserve"> continue clearing</w:t>
      </w:r>
      <w:r>
        <w:rPr>
          <w:rFonts w:ascii="Times New Roman" w:hAnsi="Times New Roman" w:cs="Times New Roman"/>
        </w:rPr>
        <w:t xml:space="preserve"> </w:t>
      </w:r>
      <w:r>
        <w:rPr>
          <w:rFonts w:ascii="Times New Roman" w:hAnsi="Times New Roman" w:cs="Times New Roman"/>
          <w:noProof/>
        </w:rPr>
        <w:t>(Martin et al., 2017)</w:t>
      </w:r>
      <w:r w:rsidRPr="00867F60">
        <w:rPr>
          <w:rFonts w:ascii="Times New Roman" w:hAnsi="Times New Roman" w:cs="Times New Roman"/>
        </w:rPr>
        <w:t xml:space="preserve">. </w:t>
      </w:r>
    </w:p>
    <w:p w:rsidR="00B00893" w:rsidRPr="00867F60" w:rsidRDefault="00B00893" w:rsidP="007E6260">
      <w:pPr>
        <w:spacing w:after="120"/>
        <w:ind w:firstLine="720"/>
        <w:jc w:val="both"/>
        <w:rPr>
          <w:rFonts w:ascii="Times New Roman" w:hAnsi="Times New Roman" w:cs="Times New Roman"/>
        </w:rPr>
      </w:pPr>
      <w:r w:rsidRPr="00867F60">
        <w:rPr>
          <w:rFonts w:ascii="Times New Roman" w:hAnsi="Times New Roman" w:cs="Times New Roman"/>
        </w:rPr>
        <w:t>Our measures of the effectiveness of protected areas do not refer to each biosphere reserve as a whole, nor to the uninhabited and sparsely inhabited core zones and Maya’s multiple use zone. We are measuring the conservation efforts of individuals and communities, which occupy large areas of these biosphere reserves. Having large numbers of resident farmers inside of protected areas is typical of protected areas around the world, and thus many protected areas need to work with farmers to maximize their conservation behaviors. Just as the conservation behaviors of individuals and communities vary greatly across the study area, some sparsely inhabited areas have retained forest cover and intact wildlife populations, while others have seen rapid deforestation in recent years, a problem we return to in the discussion.</w:t>
      </w:r>
    </w:p>
    <w:p w:rsidR="00B00893" w:rsidRPr="00867F60" w:rsidRDefault="00B00893" w:rsidP="007E6260">
      <w:pPr>
        <w:spacing w:after="120"/>
        <w:ind w:firstLine="720"/>
        <w:jc w:val="both"/>
        <w:rPr>
          <w:rFonts w:ascii="Times New Roman" w:hAnsi="Times New Roman" w:cs="Times New Roman"/>
        </w:rPr>
      </w:pPr>
    </w:p>
    <w:p w:rsidR="00B00893" w:rsidRPr="00867F60" w:rsidRDefault="00B00893" w:rsidP="00A7417B">
      <w:pPr>
        <w:spacing w:after="120"/>
        <w:outlineLvl w:val="0"/>
        <w:rPr>
          <w:rFonts w:ascii="Times New Roman" w:hAnsi="Times New Roman" w:cs="Times New Roman"/>
          <w:b/>
        </w:rPr>
      </w:pPr>
      <w:r w:rsidRPr="00867F60">
        <w:rPr>
          <w:rFonts w:ascii="Times New Roman" w:hAnsi="Times New Roman" w:cs="Times New Roman"/>
          <w:b/>
        </w:rPr>
        <w:t xml:space="preserve">Table 1: Description of variables </w:t>
      </w:r>
    </w:p>
    <w:tbl>
      <w:tblPr>
        <w:tblStyle w:val="TableGrid"/>
        <w:tblW w:w="0" w:type="auto"/>
        <w:tblLook w:val="04A0" w:firstRow="1" w:lastRow="0" w:firstColumn="1" w:lastColumn="0" w:noHBand="0" w:noVBand="1"/>
      </w:tblPr>
      <w:tblGrid>
        <w:gridCol w:w="2869"/>
        <w:gridCol w:w="2879"/>
        <w:gridCol w:w="2882"/>
      </w:tblGrid>
      <w:tr w:rsidR="00B00893" w:rsidRPr="00867F60" w:rsidTr="00763595">
        <w:tc>
          <w:tcPr>
            <w:tcW w:w="2869" w:type="dxa"/>
          </w:tcPr>
          <w:p w:rsidR="00B00893" w:rsidRPr="00867F60" w:rsidRDefault="00B00893" w:rsidP="006B70B0">
            <w:pPr>
              <w:rPr>
                <w:rFonts w:ascii="Times New Roman" w:hAnsi="Times New Roman" w:cs="Times New Roman"/>
                <w:b/>
              </w:rPr>
            </w:pPr>
            <w:r w:rsidRPr="00867F60">
              <w:rPr>
                <w:rFonts w:ascii="Times New Roman" w:hAnsi="Times New Roman" w:cs="Times New Roman"/>
                <w:b/>
              </w:rPr>
              <w:t>Variable name</w:t>
            </w:r>
          </w:p>
        </w:tc>
        <w:tc>
          <w:tcPr>
            <w:tcW w:w="2879" w:type="dxa"/>
          </w:tcPr>
          <w:p w:rsidR="00B00893" w:rsidRPr="00867F60" w:rsidRDefault="00B00893" w:rsidP="006B70B0">
            <w:pPr>
              <w:rPr>
                <w:rFonts w:ascii="Times New Roman" w:hAnsi="Times New Roman" w:cs="Times New Roman"/>
                <w:b/>
              </w:rPr>
            </w:pPr>
            <w:r w:rsidRPr="00867F60">
              <w:rPr>
                <w:rFonts w:ascii="Times New Roman" w:hAnsi="Times New Roman" w:cs="Times New Roman"/>
                <w:b/>
              </w:rPr>
              <w:t>Description</w:t>
            </w:r>
          </w:p>
        </w:tc>
        <w:tc>
          <w:tcPr>
            <w:tcW w:w="2882" w:type="dxa"/>
          </w:tcPr>
          <w:p w:rsidR="00B00893" w:rsidRPr="00867F60" w:rsidRDefault="00B00893" w:rsidP="006B70B0">
            <w:pPr>
              <w:rPr>
                <w:rFonts w:ascii="Times New Roman" w:hAnsi="Times New Roman" w:cs="Times New Roman"/>
                <w:b/>
              </w:rPr>
            </w:pPr>
            <w:r w:rsidRPr="00867F60">
              <w:rPr>
                <w:rFonts w:ascii="Times New Roman" w:hAnsi="Times New Roman" w:cs="Times New Roman"/>
                <w:b/>
              </w:rPr>
              <w:t>Measurement</w:t>
            </w:r>
          </w:p>
        </w:tc>
      </w:tr>
      <w:tr w:rsidR="00B00893" w:rsidRPr="00867F60" w:rsidTr="00763595">
        <w:tc>
          <w:tcPr>
            <w:tcW w:w="2869" w:type="dxa"/>
          </w:tcPr>
          <w:p w:rsidR="00B00893" w:rsidRPr="00867F60" w:rsidRDefault="00B00893" w:rsidP="006B70B0">
            <w:pPr>
              <w:rPr>
                <w:rFonts w:ascii="Times New Roman" w:hAnsi="Times New Roman" w:cs="Times New Roman"/>
              </w:rPr>
            </w:pPr>
            <w:r w:rsidRPr="00867F60">
              <w:rPr>
                <w:rFonts w:ascii="Times New Roman" w:hAnsi="Times New Roman" w:cs="Times New Roman"/>
              </w:rPr>
              <w:t>Farmers’ willingness to conserve</w:t>
            </w:r>
          </w:p>
        </w:tc>
        <w:tc>
          <w:tcPr>
            <w:tcW w:w="2879" w:type="dxa"/>
          </w:tcPr>
          <w:p w:rsidR="00B00893" w:rsidRPr="00867F60" w:rsidRDefault="00B00893" w:rsidP="006B70B0">
            <w:pPr>
              <w:rPr>
                <w:rFonts w:ascii="Times New Roman" w:hAnsi="Times New Roman" w:cs="Times New Roman"/>
              </w:rPr>
            </w:pPr>
            <w:r w:rsidRPr="00867F60">
              <w:rPr>
                <w:rFonts w:ascii="Times New Roman" w:hAnsi="Times New Roman" w:cs="Times New Roman"/>
              </w:rPr>
              <w:t>Revealed farmers’ willingness to conserve old growth forest without receiving economic compensation</w:t>
            </w:r>
          </w:p>
        </w:tc>
        <w:tc>
          <w:tcPr>
            <w:tcW w:w="2882" w:type="dxa"/>
          </w:tcPr>
          <w:p w:rsidR="00B00893" w:rsidRPr="00867F60" w:rsidRDefault="00B00893" w:rsidP="006B70B0">
            <w:pPr>
              <w:rPr>
                <w:rFonts w:ascii="Times New Roman" w:hAnsi="Times New Roman" w:cs="Times New Roman"/>
              </w:rPr>
            </w:pPr>
            <w:r w:rsidRPr="00867F60">
              <w:rPr>
                <w:rFonts w:ascii="Times New Roman" w:hAnsi="Times New Roman" w:cs="Times New Roman"/>
              </w:rPr>
              <w:t>0= none, 1 = low, 2= medium, 3 = high</w:t>
            </w:r>
          </w:p>
        </w:tc>
      </w:tr>
      <w:tr w:rsidR="00B00893" w:rsidRPr="00867F60" w:rsidTr="00763595">
        <w:tc>
          <w:tcPr>
            <w:tcW w:w="2869" w:type="dxa"/>
          </w:tcPr>
          <w:p w:rsidR="00B00893" w:rsidRPr="00867F60" w:rsidRDefault="00B00893" w:rsidP="006B70B0">
            <w:pPr>
              <w:rPr>
                <w:rFonts w:ascii="Times New Roman" w:hAnsi="Times New Roman" w:cs="Times New Roman"/>
              </w:rPr>
            </w:pPr>
            <w:r w:rsidRPr="00867F60">
              <w:rPr>
                <w:rFonts w:ascii="Times New Roman" w:hAnsi="Times New Roman" w:cs="Times New Roman"/>
              </w:rPr>
              <w:t>Farmers’ reserve</w:t>
            </w:r>
          </w:p>
        </w:tc>
        <w:tc>
          <w:tcPr>
            <w:tcW w:w="2879" w:type="dxa"/>
          </w:tcPr>
          <w:p w:rsidR="00B00893" w:rsidRPr="00867F60" w:rsidRDefault="00B00893" w:rsidP="006B70B0">
            <w:pPr>
              <w:rPr>
                <w:rFonts w:ascii="Times New Roman" w:hAnsi="Times New Roman" w:cs="Times New Roman"/>
              </w:rPr>
            </w:pPr>
            <w:r w:rsidRPr="00867F60">
              <w:rPr>
                <w:rFonts w:ascii="Times New Roman" w:hAnsi="Times New Roman" w:cs="Times New Roman"/>
              </w:rPr>
              <w:t>Farmers’ voluntary creation of a forest reserve within his plot</w:t>
            </w:r>
          </w:p>
        </w:tc>
        <w:tc>
          <w:tcPr>
            <w:tcW w:w="2882" w:type="dxa"/>
          </w:tcPr>
          <w:p w:rsidR="00B00893" w:rsidRPr="00867F60" w:rsidRDefault="00B00893" w:rsidP="006B70B0">
            <w:pPr>
              <w:rPr>
                <w:rFonts w:ascii="Times New Roman" w:hAnsi="Times New Roman" w:cs="Times New Roman"/>
              </w:rPr>
            </w:pPr>
            <w:r w:rsidRPr="00867F60">
              <w:rPr>
                <w:rFonts w:ascii="Times New Roman" w:hAnsi="Times New Roman" w:cs="Times New Roman"/>
              </w:rPr>
              <w:t>0= no, 1 =yes</w:t>
            </w:r>
          </w:p>
        </w:tc>
      </w:tr>
      <w:tr w:rsidR="00B00893" w:rsidRPr="00867F60" w:rsidTr="00763595">
        <w:tc>
          <w:tcPr>
            <w:tcW w:w="2869" w:type="dxa"/>
          </w:tcPr>
          <w:p w:rsidR="00B00893" w:rsidRPr="00867F60" w:rsidRDefault="00B00893" w:rsidP="006B70B0">
            <w:pPr>
              <w:rPr>
                <w:rFonts w:ascii="Times New Roman" w:hAnsi="Times New Roman" w:cs="Times New Roman"/>
              </w:rPr>
            </w:pPr>
            <w:r w:rsidRPr="00867F60">
              <w:rPr>
                <w:rFonts w:ascii="Times New Roman" w:hAnsi="Times New Roman" w:cs="Times New Roman"/>
              </w:rPr>
              <w:t>Farmers’ forest</w:t>
            </w:r>
          </w:p>
        </w:tc>
        <w:tc>
          <w:tcPr>
            <w:tcW w:w="2879" w:type="dxa"/>
          </w:tcPr>
          <w:p w:rsidR="00B00893" w:rsidRPr="00867F60" w:rsidRDefault="00B00893" w:rsidP="006B70B0">
            <w:pPr>
              <w:rPr>
                <w:rFonts w:ascii="Times New Roman" w:hAnsi="Times New Roman" w:cs="Times New Roman"/>
              </w:rPr>
            </w:pPr>
            <w:r w:rsidRPr="00867F60">
              <w:rPr>
                <w:rFonts w:ascii="Times New Roman" w:hAnsi="Times New Roman" w:cs="Times New Roman"/>
              </w:rPr>
              <w:t>Percentage of farmers’ plot covered with old growth forest</w:t>
            </w:r>
          </w:p>
        </w:tc>
        <w:tc>
          <w:tcPr>
            <w:tcW w:w="2882" w:type="dxa"/>
          </w:tcPr>
          <w:p w:rsidR="00B00893" w:rsidRPr="00867F60" w:rsidRDefault="00B00893" w:rsidP="006B70B0">
            <w:pPr>
              <w:rPr>
                <w:rFonts w:ascii="Times New Roman" w:hAnsi="Times New Roman" w:cs="Times New Roman"/>
              </w:rPr>
            </w:pPr>
            <w:r w:rsidRPr="00867F60">
              <w:rPr>
                <w:rFonts w:ascii="Times New Roman" w:hAnsi="Times New Roman" w:cs="Times New Roman"/>
              </w:rPr>
              <w:t>Self-reported number of hectares covered with old growth forest divided by plot total number of hectares</w:t>
            </w:r>
          </w:p>
        </w:tc>
      </w:tr>
      <w:tr w:rsidR="00B00893" w:rsidRPr="00867F60" w:rsidTr="00763595">
        <w:tc>
          <w:tcPr>
            <w:tcW w:w="2869" w:type="dxa"/>
          </w:tcPr>
          <w:p w:rsidR="00B00893" w:rsidRPr="00867F60" w:rsidRDefault="00B00893" w:rsidP="006B70B0">
            <w:pPr>
              <w:rPr>
                <w:rFonts w:ascii="Times New Roman" w:hAnsi="Times New Roman" w:cs="Times New Roman"/>
              </w:rPr>
            </w:pPr>
            <w:r w:rsidRPr="00867F60">
              <w:rPr>
                <w:rFonts w:ascii="Times New Roman" w:hAnsi="Times New Roman" w:cs="Times New Roman"/>
              </w:rPr>
              <w:lastRenderedPageBreak/>
              <w:t>Community forest</w:t>
            </w:r>
          </w:p>
        </w:tc>
        <w:tc>
          <w:tcPr>
            <w:tcW w:w="2879" w:type="dxa"/>
          </w:tcPr>
          <w:p w:rsidR="00B00893" w:rsidRPr="00867F60" w:rsidRDefault="00B00893" w:rsidP="006B70B0">
            <w:pPr>
              <w:rPr>
                <w:rFonts w:ascii="Times New Roman" w:hAnsi="Times New Roman" w:cs="Times New Roman"/>
              </w:rPr>
            </w:pPr>
            <w:r w:rsidRPr="00867F60">
              <w:rPr>
                <w:rFonts w:ascii="Times New Roman" w:hAnsi="Times New Roman" w:cs="Times New Roman"/>
              </w:rPr>
              <w:t>Percentage of the community covered with old growth forest</w:t>
            </w:r>
          </w:p>
        </w:tc>
        <w:tc>
          <w:tcPr>
            <w:tcW w:w="2882" w:type="dxa"/>
          </w:tcPr>
          <w:p w:rsidR="00B00893" w:rsidRPr="00867F60" w:rsidRDefault="00B00893" w:rsidP="006B70B0">
            <w:pPr>
              <w:rPr>
                <w:rFonts w:ascii="Times New Roman" w:hAnsi="Times New Roman" w:cs="Times New Roman"/>
              </w:rPr>
            </w:pPr>
            <w:r w:rsidRPr="00867F60">
              <w:rPr>
                <w:rFonts w:ascii="Times New Roman" w:hAnsi="Times New Roman" w:cs="Times New Roman"/>
              </w:rPr>
              <w:t>Average response by community farmers interviewed</w:t>
            </w:r>
          </w:p>
        </w:tc>
      </w:tr>
      <w:tr w:rsidR="00B00893" w:rsidRPr="00867F60" w:rsidTr="00763595">
        <w:tc>
          <w:tcPr>
            <w:tcW w:w="2869" w:type="dxa"/>
          </w:tcPr>
          <w:p w:rsidR="00B00893" w:rsidRPr="00867F60" w:rsidRDefault="00B00893" w:rsidP="006B70B0">
            <w:pPr>
              <w:rPr>
                <w:rFonts w:ascii="Times New Roman" w:hAnsi="Times New Roman" w:cs="Times New Roman"/>
              </w:rPr>
            </w:pPr>
            <w:r w:rsidRPr="00867F60">
              <w:rPr>
                <w:rFonts w:ascii="Times New Roman" w:hAnsi="Times New Roman" w:cs="Times New Roman"/>
              </w:rPr>
              <w:t>Community forest reserve</w:t>
            </w:r>
          </w:p>
        </w:tc>
        <w:tc>
          <w:tcPr>
            <w:tcW w:w="2879" w:type="dxa"/>
          </w:tcPr>
          <w:p w:rsidR="00B00893" w:rsidRPr="00867F60" w:rsidRDefault="00B00893" w:rsidP="006B70B0">
            <w:pPr>
              <w:rPr>
                <w:rFonts w:ascii="Times New Roman" w:hAnsi="Times New Roman" w:cs="Times New Roman"/>
              </w:rPr>
            </w:pPr>
            <w:r w:rsidRPr="00867F60">
              <w:rPr>
                <w:rFonts w:ascii="Times New Roman" w:hAnsi="Times New Roman" w:cs="Times New Roman"/>
              </w:rPr>
              <w:t xml:space="preserve">Community creation of a formal forest reserve within community land </w:t>
            </w:r>
          </w:p>
        </w:tc>
        <w:tc>
          <w:tcPr>
            <w:tcW w:w="2882" w:type="dxa"/>
          </w:tcPr>
          <w:p w:rsidR="00B00893" w:rsidRPr="00867F60" w:rsidRDefault="00B00893" w:rsidP="006B70B0">
            <w:pPr>
              <w:rPr>
                <w:rFonts w:ascii="Times New Roman" w:hAnsi="Times New Roman" w:cs="Times New Roman"/>
              </w:rPr>
            </w:pPr>
            <w:r w:rsidRPr="00867F60">
              <w:rPr>
                <w:rFonts w:ascii="Times New Roman" w:hAnsi="Times New Roman" w:cs="Times New Roman"/>
              </w:rPr>
              <w:t>0= no, 1= in progress, 2 = consolidated</w:t>
            </w:r>
          </w:p>
        </w:tc>
      </w:tr>
    </w:tbl>
    <w:p w:rsidR="00B00893" w:rsidRPr="00867F60" w:rsidRDefault="00B00893" w:rsidP="00A40D64">
      <w:pPr>
        <w:spacing w:after="120"/>
        <w:rPr>
          <w:rFonts w:ascii="Times New Roman" w:hAnsi="Times New Roman" w:cs="Times New Roman"/>
          <w:b/>
        </w:rPr>
      </w:pPr>
    </w:p>
    <w:p w:rsidR="00B00893" w:rsidRPr="00867F60" w:rsidRDefault="00B00893" w:rsidP="00A7417B">
      <w:pPr>
        <w:spacing w:after="120"/>
        <w:outlineLvl w:val="0"/>
        <w:rPr>
          <w:rFonts w:ascii="Times New Roman" w:hAnsi="Times New Roman" w:cs="Times New Roman"/>
          <w:b/>
        </w:rPr>
      </w:pPr>
      <w:r w:rsidRPr="00867F60">
        <w:rPr>
          <w:rFonts w:ascii="Times New Roman" w:hAnsi="Times New Roman" w:cs="Times New Roman"/>
          <w:b/>
        </w:rPr>
        <w:t>3.3 Tracing Institutional Pathways</w:t>
      </w:r>
    </w:p>
    <w:p w:rsidR="00B00893" w:rsidRPr="00867F60" w:rsidRDefault="00B00893" w:rsidP="00A7417B">
      <w:pPr>
        <w:spacing w:after="120"/>
        <w:outlineLvl w:val="0"/>
        <w:rPr>
          <w:rFonts w:ascii="Times New Roman" w:hAnsi="Times New Roman" w:cs="Times New Roman"/>
        </w:rPr>
      </w:pPr>
      <w:r w:rsidRPr="00867F60">
        <w:rPr>
          <w:rFonts w:ascii="Times New Roman" w:hAnsi="Times New Roman" w:cs="Times New Roman"/>
        </w:rPr>
        <w:t xml:space="preserve">In order to understand how institutional pathways explain divergent outcomes, we utilize a technique known as process-tracing. Process tracing “is an analytic tool for drawing descriptive and causal inferences from diagnostic pieces of evidence—often understood as part of a temporal sequence of events or phenomena.” </w:t>
      </w:r>
      <w:r w:rsidRPr="00867F60">
        <w:rPr>
          <w:rFonts w:ascii="Times New Roman" w:hAnsi="Times New Roman" w:cs="Times New Roman"/>
          <w:noProof/>
        </w:rPr>
        <w:t>(Collier, 2011, p. 824)</w:t>
      </w:r>
      <w:r w:rsidRPr="00867F60">
        <w:rPr>
          <w:rFonts w:ascii="Times New Roman" w:hAnsi="Times New Roman" w:cs="Times New Roman"/>
        </w:rPr>
        <w:t xml:space="preserve"> The technique relies on reconstructing sequences of events to understand how causal mechanisms operate, and can be used both for theory development or, as in this case, for explaining the outcomes of a case </w:t>
      </w:r>
      <w:r>
        <w:rPr>
          <w:rFonts w:ascii="Times New Roman" w:hAnsi="Times New Roman" w:cs="Times New Roman"/>
          <w:noProof/>
        </w:rPr>
        <w:t>(Beach and Pedersen, 2016; George and Bennett, 2005)</w:t>
      </w:r>
      <w:r w:rsidRPr="00867F60">
        <w:rPr>
          <w:rFonts w:ascii="Times New Roman" w:hAnsi="Times New Roman" w:cs="Times New Roman"/>
        </w:rPr>
        <w:t xml:space="preserve">. </w:t>
      </w:r>
      <w:r>
        <w:rPr>
          <w:rFonts w:ascii="Times New Roman" w:hAnsi="Times New Roman" w:cs="Times New Roman"/>
        </w:rPr>
        <w:t>Process</w:t>
      </w:r>
      <w:r w:rsidRPr="00867F60">
        <w:rPr>
          <w:rFonts w:ascii="Times New Roman" w:hAnsi="Times New Roman" w:cs="Times New Roman"/>
        </w:rPr>
        <w:t xml:space="preserve"> tracing underlies a large body of research in the environmental social sciences </w:t>
      </w:r>
      <w:r w:rsidRPr="00867F60">
        <w:rPr>
          <w:rFonts w:ascii="Times New Roman" w:hAnsi="Times New Roman" w:cs="Times New Roman"/>
          <w:noProof/>
        </w:rPr>
        <w:t>(Vanhala, 2017)</w:t>
      </w:r>
      <w:r w:rsidRPr="00867F60">
        <w:rPr>
          <w:rFonts w:ascii="Times New Roman" w:hAnsi="Times New Roman" w:cs="Times New Roman"/>
        </w:rPr>
        <w:t xml:space="preserve">. </w:t>
      </w:r>
      <w:r>
        <w:rPr>
          <w:rFonts w:ascii="Times New Roman" w:hAnsi="Times New Roman" w:cs="Times New Roman"/>
        </w:rPr>
        <w:t xml:space="preserve">For example, </w:t>
      </w:r>
      <w:r w:rsidRPr="00867F60">
        <w:rPr>
          <w:rFonts w:ascii="Times New Roman" w:hAnsi="Times New Roman" w:cs="Times New Roman"/>
        </w:rPr>
        <w:t xml:space="preserve"> </w:t>
      </w:r>
      <w:r w:rsidRPr="00867F60">
        <w:rPr>
          <w:rFonts w:ascii="Times New Roman" w:hAnsi="Times New Roman" w:cs="Times New Roman"/>
          <w:noProof/>
        </w:rPr>
        <w:t>Kashwan (2017a)</w:t>
      </w:r>
      <w:r w:rsidRPr="00867F60">
        <w:rPr>
          <w:rFonts w:ascii="Times New Roman" w:hAnsi="Times New Roman" w:cs="Times New Roman"/>
        </w:rPr>
        <w:t xml:space="preserve"> </w:t>
      </w:r>
      <w:r>
        <w:rPr>
          <w:rFonts w:ascii="Times New Roman" w:hAnsi="Times New Roman" w:cs="Times New Roman"/>
        </w:rPr>
        <w:t xml:space="preserve"> uses </w:t>
      </w:r>
      <w:r w:rsidRPr="00867F60">
        <w:rPr>
          <w:rFonts w:ascii="Times New Roman" w:hAnsi="Times New Roman" w:cs="Times New Roman"/>
        </w:rPr>
        <w:t>process tracing to understand how politics shapes institutional pathways which in turn shape conservation outcomes. In order to trace the process which led to divergent conservation outcomes, we build an analytic narrative in sections 4.2 and 4.3 which presents events in the settlement and conservation of the Maya forest in historical perspective, drawing on our interview sources, described above, as well as secondary data whenever available.</w:t>
      </w:r>
    </w:p>
    <w:p w:rsidR="00B00893" w:rsidRPr="00867F60" w:rsidRDefault="00B00893" w:rsidP="00A7417B">
      <w:pPr>
        <w:spacing w:after="120"/>
        <w:outlineLvl w:val="0"/>
        <w:rPr>
          <w:rFonts w:ascii="Times New Roman" w:hAnsi="Times New Roman" w:cs="Times New Roman"/>
          <w:b/>
        </w:rPr>
      </w:pPr>
      <w:r w:rsidRPr="00867F60">
        <w:rPr>
          <w:rFonts w:ascii="Times New Roman" w:hAnsi="Times New Roman" w:cs="Times New Roman"/>
          <w:b/>
        </w:rPr>
        <w:t>4. RESULTS</w:t>
      </w:r>
    </w:p>
    <w:p w:rsidR="00B00893" w:rsidRPr="00867F60" w:rsidRDefault="00B00893" w:rsidP="00A7417B">
      <w:pPr>
        <w:spacing w:after="120"/>
        <w:outlineLvl w:val="0"/>
        <w:rPr>
          <w:rFonts w:ascii="Times New Roman" w:hAnsi="Times New Roman" w:cs="Times New Roman"/>
          <w:b/>
        </w:rPr>
      </w:pPr>
      <w:r w:rsidRPr="00867F60">
        <w:rPr>
          <w:rFonts w:ascii="Times New Roman" w:hAnsi="Times New Roman" w:cs="Times New Roman"/>
          <w:b/>
        </w:rPr>
        <w:t>4.1 Conservation Outcomes</w:t>
      </w:r>
    </w:p>
    <w:p w:rsidR="00B00893" w:rsidRPr="00867F60" w:rsidRDefault="00B00893" w:rsidP="00A40D64">
      <w:pPr>
        <w:spacing w:after="120"/>
        <w:ind w:firstLine="720"/>
        <w:jc w:val="both"/>
        <w:rPr>
          <w:rFonts w:ascii="Times New Roman" w:hAnsi="Times New Roman" w:cs="Times New Roman"/>
        </w:rPr>
      </w:pPr>
      <w:r w:rsidRPr="00531BCA">
        <w:rPr>
          <w:rFonts w:ascii="Times New Roman" w:hAnsi="Times New Roman" w:cs="Times New Roman"/>
        </w:rPr>
        <w:t>Farmers are more willing to conserve</w:t>
      </w:r>
      <w:r w:rsidRPr="00867F60">
        <w:rPr>
          <w:rFonts w:ascii="Times New Roman" w:hAnsi="Times New Roman" w:cs="Times New Roman"/>
        </w:rPr>
        <w:t xml:space="preserve"> forest in Calakmul than in Maya. Table 2 shows that 50.4% of farmers in Maya define their willingness to conserve between none and low and 49.6% between medium and high.  By contrast 69.3% of the interviewees in Calakmul stated their willingness to conserve between medium and high, with 40.7% stating their willingness is high. </w:t>
      </w:r>
      <w:r>
        <w:rPr>
          <w:rFonts w:ascii="Times New Roman" w:hAnsi="Times New Roman" w:cs="Times New Roman"/>
        </w:rPr>
        <w:t>Differences between willingness to conserve in Calakmul and Maya are significant at the 99% confidence level as (Wilcoxon-Mann-Whitney two sample test).</w:t>
      </w:r>
    </w:p>
    <w:p w:rsidR="00B00893" w:rsidRPr="00531BCA" w:rsidRDefault="00B00893" w:rsidP="00C32D4E">
      <w:pPr>
        <w:spacing w:after="120"/>
        <w:ind w:left="720"/>
        <w:outlineLvl w:val="0"/>
        <w:rPr>
          <w:rFonts w:ascii="Times New Roman" w:hAnsi="Times New Roman" w:cs="Times New Roman"/>
          <w:b/>
        </w:rPr>
      </w:pPr>
      <w:r w:rsidRPr="001F4391">
        <w:rPr>
          <w:rFonts w:ascii="Times New Roman" w:hAnsi="Times New Roman" w:cs="Times New Roman"/>
          <w:b/>
        </w:rPr>
        <w:t xml:space="preserve">        Table 2:</w:t>
      </w:r>
      <w:r w:rsidRPr="007D7895">
        <w:rPr>
          <w:rFonts w:ascii="Times New Roman" w:hAnsi="Times New Roman" w:cs="Times New Roman"/>
          <w:b/>
        </w:rPr>
        <w:t xml:space="preserve"> Households’ </w:t>
      </w:r>
      <w:r w:rsidRPr="001F4391">
        <w:rPr>
          <w:rFonts w:ascii="Times New Roman" w:hAnsi="Times New Roman" w:cs="Times New Roman"/>
          <w:b/>
        </w:rPr>
        <w:t>willingness to conserve (%)</w:t>
      </w:r>
    </w:p>
    <w:tbl>
      <w:tblPr>
        <w:tblStyle w:val="TableGrid"/>
        <w:tblW w:w="0" w:type="auto"/>
        <w:jc w:val="center"/>
        <w:tblLook w:val="04A0" w:firstRow="1" w:lastRow="0" w:firstColumn="1" w:lastColumn="0" w:noHBand="0" w:noVBand="1"/>
      </w:tblPr>
      <w:tblGrid>
        <w:gridCol w:w="2160"/>
        <w:gridCol w:w="1008"/>
        <w:gridCol w:w="1008"/>
        <w:gridCol w:w="1083"/>
        <w:gridCol w:w="1008"/>
      </w:tblGrid>
      <w:tr w:rsidR="00B00893" w:rsidRPr="00531BCA" w:rsidTr="00E1230C">
        <w:trPr>
          <w:jc w:val="center"/>
        </w:trPr>
        <w:tc>
          <w:tcPr>
            <w:tcW w:w="2160" w:type="dxa"/>
          </w:tcPr>
          <w:p w:rsidR="00B00893" w:rsidRPr="00576499" w:rsidRDefault="00B00893" w:rsidP="00A40D64">
            <w:pPr>
              <w:spacing w:after="120"/>
              <w:jc w:val="both"/>
              <w:rPr>
                <w:rFonts w:ascii="Times New Roman" w:hAnsi="Times New Roman" w:cs="Times New Roman"/>
                <w:b/>
              </w:rPr>
            </w:pPr>
            <w:r w:rsidRPr="00576499">
              <w:rPr>
                <w:rFonts w:ascii="Times New Roman" w:hAnsi="Times New Roman" w:cs="Times New Roman"/>
                <w:b/>
              </w:rPr>
              <w:t>Biosphere Reserve</w:t>
            </w:r>
          </w:p>
        </w:tc>
        <w:tc>
          <w:tcPr>
            <w:tcW w:w="1008" w:type="dxa"/>
          </w:tcPr>
          <w:p w:rsidR="00B00893" w:rsidRPr="00576499" w:rsidRDefault="00B00893" w:rsidP="00A40D64">
            <w:pPr>
              <w:spacing w:after="120"/>
              <w:jc w:val="both"/>
              <w:rPr>
                <w:rFonts w:ascii="Times New Roman" w:hAnsi="Times New Roman" w:cs="Times New Roman"/>
                <w:b/>
              </w:rPr>
            </w:pPr>
            <w:r w:rsidRPr="00576499">
              <w:rPr>
                <w:rFonts w:ascii="Times New Roman" w:hAnsi="Times New Roman" w:cs="Times New Roman"/>
                <w:b/>
              </w:rPr>
              <w:t>None</w:t>
            </w:r>
          </w:p>
        </w:tc>
        <w:tc>
          <w:tcPr>
            <w:tcW w:w="1008" w:type="dxa"/>
          </w:tcPr>
          <w:p w:rsidR="00B00893" w:rsidRPr="00576499" w:rsidRDefault="00B00893" w:rsidP="00A40D64">
            <w:pPr>
              <w:spacing w:after="120"/>
              <w:jc w:val="both"/>
              <w:rPr>
                <w:rFonts w:ascii="Times New Roman" w:hAnsi="Times New Roman" w:cs="Times New Roman"/>
                <w:b/>
              </w:rPr>
            </w:pPr>
            <w:r w:rsidRPr="00576499">
              <w:rPr>
                <w:rFonts w:ascii="Times New Roman" w:hAnsi="Times New Roman" w:cs="Times New Roman"/>
                <w:b/>
              </w:rPr>
              <w:t>Low</w:t>
            </w:r>
          </w:p>
        </w:tc>
        <w:tc>
          <w:tcPr>
            <w:tcW w:w="1030" w:type="dxa"/>
          </w:tcPr>
          <w:p w:rsidR="00B00893" w:rsidRPr="00576499" w:rsidRDefault="00B00893" w:rsidP="00A40D64">
            <w:pPr>
              <w:spacing w:after="120"/>
              <w:jc w:val="both"/>
              <w:rPr>
                <w:rFonts w:ascii="Times New Roman" w:hAnsi="Times New Roman" w:cs="Times New Roman"/>
                <w:b/>
              </w:rPr>
            </w:pPr>
            <w:r w:rsidRPr="00576499">
              <w:rPr>
                <w:rFonts w:ascii="Times New Roman" w:hAnsi="Times New Roman" w:cs="Times New Roman"/>
                <w:b/>
              </w:rPr>
              <w:t>Medium</w:t>
            </w:r>
          </w:p>
        </w:tc>
        <w:tc>
          <w:tcPr>
            <w:tcW w:w="1008" w:type="dxa"/>
          </w:tcPr>
          <w:p w:rsidR="00B00893" w:rsidRPr="00576499" w:rsidRDefault="00B00893" w:rsidP="00A40D64">
            <w:pPr>
              <w:spacing w:after="120"/>
              <w:jc w:val="both"/>
              <w:rPr>
                <w:rFonts w:ascii="Times New Roman" w:hAnsi="Times New Roman" w:cs="Times New Roman"/>
                <w:b/>
              </w:rPr>
            </w:pPr>
            <w:r w:rsidRPr="00576499">
              <w:rPr>
                <w:rFonts w:ascii="Times New Roman" w:hAnsi="Times New Roman" w:cs="Times New Roman"/>
                <w:b/>
              </w:rPr>
              <w:t>High</w:t>
            </w:r>
          </w:p>
        </w:tc>
      </w:tr>
      <w:tr w:rsidR="00B00893" w:rsidRPr="00531BCA" w:rsidTr="00E1230C">
        <w:trPr>
          <w:jc w:val="center"/>
        </w:trPr>
        <w:tc>
          <w:tcPr>
            <w:tcW w:w="2160" w:type="dxa"/>
          </w:tcPr>
          <w:p w:rsidR="00B00893" w:rsidRPr="00531BCA" w:rsidRDefault="00B00893" w:rsidP="00A40D64">
            <w:pPr>
              <w:spacing w:after="120"/>
              <w:jc w:val="both"/>
              <w:rPr>
                <w:rFonts w:ascii="Times New Roman" w:hAnsi="Times New Roman" w:cs="Times New Roman"/>
              </w:rPr>
            </w:pPr>
            <w:r w:rsidRPr="00531BCA">
              <w:rPr>
                <w:rFonts w:ascii="Times New Roman" w:hAnsi="Times New Roman" w:cs="Times New Roman"/>
              </w:rPr>
              <w:t>Calakmul</w:t>
            </w:r>
          </w:p>
        </w:tc>
        <w:tc>
          <w:tcPr>
            <w:tcW w:w="1008" w:type="dxa"/>
          </w:tcPr>
          <w:p w:rsidR="00B00893" w:rsidRPr="00531BCA" w:rsidRDefault="00B00893" w:rsidP="00A40D64">
            <w:pPr>
              <w:spacing w:after="120"/>
              <w:jc w:val="both"/>
              <w:rPr>
                <w:rFonts w:ascii="Times New Roman" w:hAnsi="Times New Roman" w:cs="Times New Roman"/>
              </w:rPr>
            </w:pPr>
            <w:r w:rsidRPr="00531BCA">
              <w:rPr>
                <w:rFonts w:ascii="Times New Roman" w:hAnsi="Times New Roman" w:cs="Times New Roman"/>
              </w:rPr>
              <w:t>18.2</w:t>
            </w:r>
          </w:p>
        </w:tc>
        <w:tc>
          <w:tcPr>
            <w:tcW w:w="1008" w:type="dxa"/>
          </w:tcPr>
          <w:p w:rsidR="00B00893" w:rsidRPr="00531BCA" w:rsidRDefault="00B00893" w:rsidP="00A40D64">
            <w:pPr>
              <w:spacing w:after="120"/>
              <w:jc w:val="both"/>
              <w:rPr>
                <w:rFonts w:ascii="Times New Roman" w:hAnsi="Times New Roman" w:cs="Times New Roman"/>
              </w:rPr>
            </w:pPr>
            <w:r w:rsidRPr="00531BCA">
              <w:rPr>
                <w:rFonts w:ascii="Times New Roman" w:hAnsi="Times New Roman" w:cs="Times New Roman"/>
              </w:rPr>
              <w:t>12.5</w:t>
            </w:r>
          </w:p>
        </w:tc>
        <w:tc>
          <w:tcPr>
            <w:tcW w:w="1030" w:type="dxa"/>
          </w:tcPr>
          <w:p w:rsidR="00B00893" w:rsidRPr="00531BCA" w:rsidRDefault="00B00893" w:rsidP="00A40D64">
            <w:pPr>
              <w:spacing w:after="120"/>
              <w:jc w:val="both"/>
              <w:rPr>
                <w:rFonts w:ascii="Times New Roman" w:hAnsi="Times New Roman" w:cs="Times New Roman"/>
              </w:rPr>
            </w:pPr>
            <w:r w:rsidRPr="00531BCA">
              <w:rPr>
                <w:rFonts w:ascii="Times New Roman" w:hAnsi="Times New Roman" w:cs="Times New Roman"/>
              </w:rPr>
              <w:t>28.6</w:t>
            </w:r>
          </w:p>
        </w:tc>
        <w:tc>
          <w:tcPr>
            <w:tcW w:w="1008" w:type="dxa"/>
          </w:tcPr>
          <w:p w:rsidR="00B00893" w:rsidRPr="00531BCA" w:rsidRDefault="00B00893" w:rsidP="00A40D64">
            <w:pPr>
              <w:spacing w:after="120"/>
              <w:jc w:val="both"/>
              <w:rPr>
                <w:rFonts w:ascii="Times New Roman" w:hAnsi="Times New Roman" w:cs="Times New Roman"/>
              </w:rPr>
            </w:pPr>
            <w:r w:rsidRPr="00531BCA">
              <w:rPr>
                <w:rFonts w:ascii="Times New Roman" w:hAnsi="Times New Roman" w:cs="Times New Roman"/>
              </w:rPr>
              <w:t>40.7</w:t>
            </w:r>
          </w:p>
        </w:tc>
      </w:tr>
      <w:tr w:rsidR="00B00893" w:rsidRPr="00531BCA" w:rsidTr="00E1230C">
        <w:trPr>
          <w:jc w:val="center"/>
        </w:trPr>
        <w:tc>
          <w:tcPr>
            <w:tcW w:w="2160" w:type="dxa"/>
          </w:tcPr>
          <w:p w:rsidR="00B00893" w:rsidRPr="00531BCA" w:rsidRDefault="00B00893" w:rsidP="00A40D64">
            <w:pPr>
              <w:spacing w:after="120"/>
              <w:jc w:val="both"/>
              <w:rPr>
                <w:rFonts w:ascii="Times New Roman" w:hAnsi="Times New Roman" w:cs="Times New Roman"/>
              </w:rPr>
            </w:pPr>
            <w:r w:rsidRPr="00531BCA">
              <w:rPr>
                <w:rFonts w:ascii="Times New Roman" w:hAnsi="Times New Roman" w:cs="Times New Roman"/>
              </w:rPr>
              <w:t>Maya</w:t>
            </w:r>
          </w:p>
        </w:tc>
        <w:tc>
          <w:tcPr>
            <w:tcW w:w="1008" w:type="dxa"/>
          </w:tcPr>
          <w:p w:rsidR="00B00893" w:rsidRPr="00531BCA" w:rsidRDefault="00B00893" w:rsidP="00A40D64">
            <w:pPr>
              <w:spacing w:after="120"/>
              <w:jc w:val="both"/>
              <w:rPr>
                <w:rFonts w:ascii="Times New Roman" w:hAnsi="Times New Roman" w:cs="Times New Roman"/>
              </w:rPr>
            </w:pPr>
            <w:r w:rsidRPr="00531BCA">
              <w:rPr>
                <w:rFonts w:ascii="Times New Roman" w:hAnsi="Times New Roman" w:cs="Times New Roman"/>
              </w:rPr>
              <w:t>17.4</w:t>
            </w:r>
          </w:p>
        </w:tc>
        <w:tc>
          <w:tcPr>
            <w:tcW w:w="1008" w:type="dxa"/>
          </w:tcPr>
          <w:p w:rsidR="00B00893" w:rsidRPr="00531BCA" w:rsidRDefault="00B00893" w:rsidP="00A40D64">
            <w:pPr>
              <w:spacing w:after="120"/>
              <w:jc w:val="both"/>
              <w:rPr>
                <w:rFonts w:ascii="Times New Roman" w:hAnsi="Times New Roman" w:cs="Times New Roman"/>
              </w:rPr>
            </w:pPr>
            <w:r w:rsidRPr="00531BCA">
              <w:rPr>
                <w:rFonts w:ascii="Times New Roman" w:hAnsi="Times New Roman" w:cs="Times New Roman"/>
              </w:rPr>
              <w:t>33</w:t>
            </w:r>
          </w:p>
        </w:tc>
        <w:tc>
          <w:tcPr>
            <w:tcW w:w="1030" w:type="dxa"/>
          </w:tcPr>
          <w:p w:rsidR="00B00893" w:rsidRPr="00531BCA" w:rsidRDefault="00B00893" w:rsidP="00A40D64">
            <w:pPr>
              <w:spacing w:after="120"/>
              <w:jc w:val="both"/>
              <w:rPr>
                <w:rFonts w:ascii="Times New Roman" w:hAnsi="Times New Roman" w:cs="Times New Roman"/>
              </w:rPr>
            </w:pPr>
            <w:r w:rsidRPr="00531BCA">
              <w:rPr>
                <w:rFonts w:ascii="Times New Roman" w:hAnsi="Times New Roman" w:cs="Times New Roman"/>
              </w:rPr>
              <w:t>21.5</w:t>
            </w:r>
          </w:p>
        </w:tc>
        <w:tc>
          <w:tcPr>
            <w:tcW w:w="1008" w:type="dxa"/>
          </w:tcPr>
          <w:p w:rsidR="00B00893" w:rsidRPr="00531BCA" w:rsidRDefault="00B00893" w:rsidP="00A40D64">
            <w:pPr>
              <w:spacing w:after="120"/>
              <w:jc w:val="both"/>
              <w:rPr>
                <w:rFonts w:ascii="Times New Roman" w:hAnsi="Times New Roman" w:cs="Times New Roman"/>
              </w:rPr>
            </w:pPr>
            <w:r w:rsidRPr="00531BCA">
              <w:rPr>
                <w:rFonts w:ascii="Times New Roman" w:hAnsi="Times New Roman" w:cs="Times New Roman"/>
              </w:rPr>
              <w:t>28.1</w:t>
            </w:r>
          </w:p>
        </w:tc>
      </w:tr>
    </w:tbl>
    <w:p w:rsidR="00B00893" w:rsidRPr="00531BCA" w:rsidRDefault="00B00893" w:rsidP="00A40D64">
      <w:pPr>
        <w:spacing w:after="120"/>
        <w:ind w:firstLine="720"/>
        <w:jc w:val="both"/>
        <w:rPr>
          <w:rFonts w:ascii="Times New Roman" w:hAnsi="Times New Roman" w:cs="Times New Roman"/>
        </w:rPr>
      </w:pPr>
    </w:p>
    <w:p w:rsidR="00B00893" w:rsidRPr="00576499" w:rsidRDefault="00B00893" w:rsidP="00A40D64">
      <w:pPr>
        <w:spacing w:after="120"/>
        <w:ind w:firstLine="720"/>
        <w:jc w:val="both"/>
        <w:rPr>
          <w:rFonts w:ascii="Times New Roman" w:hAnsi="Times New Roman" w:cs="Times New Roman"/>
        </w:rPr>
      </w:pPr>
      <w:r w:rsidRPr="00531BCA">
        <w:rPr>
          <w:rFonts w:ascii="Times New Roman" w:hAnsi="Times New Roman" w:cs="Times New Roman"/>
        </w:rPr>
        <w:t>It is possible that farmers overstate their conservation commitment when they express it in words</w:t>
      </w:r>
      <w:r w:rsidRPr="00576499">
        <w:rPr>
          <w:rFonts w:ascii="Times New Roman" w:hAnsi="Times New Roman" w:cs="Times New Roman"/>
        </w:rPr>
        <w:t xml:space="preserve">. However, conservation </w:t>
      </w:r>
      <w:r>
        <w:rPr>
          <w:rFonts w:ascii="Times New Roman" w:hAnsi="Times New Roman" w:cs="Times New Roman"/>
        </w:rPr>
        <w:t>behavior</w:t>
      </w:r>
      <w:r w:rsidRPr="00576499">
        <w:rPr>
          <w:rFonts w:ascii="Times New Roman" w:hAnsi="Times New Roman" w:cs="Times New Roman"/>
        </w:rPr>
        <w:t xml:space="preserve"> is also higher among farmers in Calakmul than in Maya. Table 3 shows that in Calakmul 60% of the households interviewed have voluntarily set apart a piece of their plot for conservation purposes and have no plans to clear it. In Maya only 38% of the households have defined voluntary forest reserves in their plots. It is also more common to find plots with larger percentage of old growth forest in Calakmul than in Maya. Thirty seven percent of the farmers in Calakmul keep over 50% of their plot covered with old growth forest. In Maya </w:t>
      </w:r>
      <w:r w:rsidRPr="00576499">
        <w:rPr>
          <w:rFonts w:ascii="Times New Roman" w:hAnsi="Times New Roman" w:cs="Times New Roman"/>
        </w:rPr>
        <w:lastRenderedPageBreak/>
        <w:t>only 18% of the farmers keep over 50% of their plot covered with old growth forest. Combined these three indicators suggest forest conservation at the farmer level is systematically higher in Calakmul than in Maya</w:t>
      </w:r>
      <w:r>
        <w:rPr>
          <w:rFonts w:ascii="Times New Roman" w:hAnsi="Times New Roman" w:cs="Times New Roman"/>
        </w:rPr>
        <w:t xml:space="preserve"> (These differences are statistically significant at 99% confidence per independent sample t test and a z test)</w:t>
      </w:r>
      <w:r w:rsidRPr="00576499">
        <w:rPr>
          <w:rFonts w:ascii="Times New Roman" w:hAnsi="Times New Roman" w:cs="Times New Roman"/>
        </w:rPr>
        <w:t xml:space="preserve">. Average plot size is modestly higher in Calakmul than in Maya (50 and 42 hectares), but we explain in the following pages that there is more than size explaining the larger forest conservation effort farmers make in Calakmul. </w:t>
      </w:r>
    </w:p>
    <w:p w:rsidR="00B00893" w:rsidRPr="00576499" w:rsidRDefault="00B00893" w:rsidP="00A7417B">
      <w:pPr>
        <w:spacing w:after="120"/>
        <w:ind w:left="720"/>
        <w:jc w:val="both"/>
        <w:outlineLvl w:val="0"/>
        <w:rPr>
          <w:rFonts w:ascii="Times New Roman" w:hAnsi="Times New Roman" w:cs="Times New Roman"/>
        </w:rPr>
      </w:pPr>
      <w:r>
        <w:rPr>
          <w:rFonts w:ascii="Times New Roman" w:hAnsi="Times New Roman" w:cs="Times New Roman"/>
          <w:b/>
        </w:rPr>
        <w:t xml:space="preserve">  </w:t>
      </w:r>
      <w:r w:rsidRPr="00576499">
        <w:rPr>
          <w:rFonts w:ascii="Times New Roman" w:hAnsi="Times New Roman" w:cs="Times New Roman"/>
          <w:b/>
        </w:rPr>
        <w:t>Table 3: Households’ conservation actions</w:t>
      </w:r>
    </w:p>
    <w:tbl>
      <w:tblPr>
        <w:tblStyle w:val="TableGrid"/>
        <w:tblW w:w="0" w:type="auto"/>
        <w:tblInd w:w="828" w:type="dxa"/>
        <w:tblLook w:val="04A0" w:firstRow="1" w:lastRow="0" w:firstColumn="1" w:lastColumn="0" w:noHBand="0" w:noVBand="1"/>
      </w:tblPr>
      <w:tblGrid>
        <w:gridCol w:w="1674"/>
        <w:gridCol w:w="2016"/>
        <w:gridCol w:w="2790"/>
      </w:tblGrid>
      <w:tr w:rsidR="00B00893" w:rsidRPr="00531BCA" w:rsidTr="00225BA0">
        <w:tc>
          <w:tcPr>
            <w:tcW w:w="1674" w:type="dxa"/>
          </w:tcPr>
          <w:p w:rsidR="00B00893" w:rsidRPr="00576499" w:rsidRDefault="00B00893" w:rsidP="00E43702">
            <w:pPr>
              <w:jc w:val="both"/>
              <w:rPr>
                <w:rFonts w:ascii="Times New Roman" w:hAnsi="Times New Roman" w:cs="Times New Roman"/>
              </w:rPr>
            </w:pPr>
            <w:r w:rsidRPr="00576499">
              <w:rPr>
                <w:rFonts w:ascii="Times New Roman" w:hAnsi="Times New Roman" w:cs="Times New Roman"/>
              </w:rPr>
              <w:t>Biosphere reserve</w:t>
            </w:r>
          </w:p>
        </w:tc>
        <w:tc>
          <w:tcPr>
            <w:tcW w:w="2016" w:type="dxa"/>
          </w:tcPr>
          <w:p w:rsidR="00B00893" w:rsidRPr="00576499" w:rsidRDefault="00B00893" w:rsidP="00E43702">
            <w:pPr>
              <w:jc w:val="both"/>
              <w:rPr>
                <w:rFonts w:ascii="Times New Roman" w:hAnsi="Times New Roman" w:cs="Times New Roman"/>
              </w:rPr>
            </w:pPr>
            <w:r w:rsidRPr="00576499">
              <w:rPr>
                <w:rFonts w:ascii="Times New Roman" w:hAnsi="Times New Roman" w:cs="Times New Roman"/>
              </w:rPr>
              <w:t xml:space="preserve">Farmers’ reserve </w:t>
            </w:r>
          </w:p>
        </w:tc>
        <w:tc>
          <w:tcPr>
            <w:tcW w:w="2790" w:type="dxa"/>
          </w:tcPr>
          <w:p w:rsidR="00B00893" w:rsidRPr="00576499" w:rsidRDefault="00B00893" w:rsidP="00E43702">
            <w:pPr>
              <w:jc w:val="both"/>
              <w:rPr>
                <w:rFonts w:ascii="Times New Roman" w:hAnsi="Times New Roman" w:cs="Times New Roman"/>
              </w:rPr>
            </w:pPr>
            <w:r w:rsidRPr="00576499">
              <w:rPr>
                <w:rFonts w:ascii="Times New Roman" w:hAnsi="Times New Roman" w:cs="Times New Roman"/>
              </w:rPr>
              <w:t>Farmers’ forest &gt;50% of plot</w:t>
            </w:r>
          </w:p>
        </w:tc>
      </w:tr>
      <w:tr w:rsidR="00B00893" w:rsidRPr="00531BCA" w:rsidTr="00225BA0">
        <w:tc>
          <w:tcPr>
            <w:tcW w:w="1674" w:type="dxa"/>
          </w:tcPr>
          <w:p w:rsidR="00B00893" w:rsidRPr="00531BCA" w:rsidRDefault="00B00893" w:rsidP="00E43702">
            <w:pPr>
              <w:jc w:val="both"/>
              <w:rPr>
                <w:rFonts w:ascii="Times New Roman" w:hAnsi="Times New Roman" w:cs="Times New Roman"/>
              </w:rPr>
            </w:pPr>
            <w:r w:rsidRPr="00531BCA">
              <w:rPr>
                <w:rFonts w:ascii="Times New Roman" w:hAnsi="Times New Roman" w:cs="Times New Roman"/>
              </w:rPr>
              <w:t>Calakmul</w:t>
            </w:r>
          </w:p>
        </w:tc>
        <w:tc>
          <w:tcPr>
            <w:tcW w:w="2016" w:type="dxa"/>
          </w:tcPr>
          <w:p w:rsidR="00B00893" w:rsidRPr="00576499" w:rsidRDefault="00B00893" w:rsidP="00E43702">
            <w:pPr>
              <w:jc w:val="both"/>
              <w:rPr>
                <w:rFonts w:ascii="Times New Roman" w:hAnsi="Times New Roman" w:cs="Times New Roman"/>
              </w:rPr>
            </w:pPr>
            <w:r w:rsidRPr="00576499">
              <w:rPr>
                <w:rFonts w:ascii="Times New Roman" w:hAnsi="Times New Roman" w:cs="Times New Roman"/>
              </w:rPr>
              <w:t>60%</w:t>
            </w:r>
          </w:p>
        </w:tc>
        <w:tc>
          <w:tcPr>
            <w:tcW w:w="2790" w:type="dxa"/>
          </w:tcPr>
          <w:p w:rsidR="00B00893" w:rsidRPr="00531BCA" w:rsidRDefault="00B00893" w:rsidP="00E43702">
            <w:pPr>
              <w:jc w:val="both"/>
              <w:rPr>
                <w:rFonts w:ascii="Times New Roman" w:hAnsi="Times New Roman" w:cs="Times New Roman"/>
              </w:rPr>
            </w:pPr>
            <w:r w:rsidRPr="00531BCA">
              <w:rPr>
                <w:rFonts w:ascii="Times New Roman" w:hAnsi="Times New Roman" w:cs="Times New Roman"/>
              </w:rPr>
              <w:t xml:space="preserve">37% </w:t>
            </w:r>
          </w:p>
        </w:tc>
      </w:tr>
      <w:tr w:rsidR="00B00893" w:rsidRPr="00531BCA" w:rsidTr="00225BA0">
        <w:tc>
          <w:tcPr>
            <w:tcW w:w="1674" w:type="dxa"/>
          </w:tcPr>
          <w:p w:rsidR="00B00893" w:rsidRPr="00531BCA" w:rsidRDefault="00B00893" w:rsidP="00E43702">
            <w:pPr>
              <w:jc w:val="both"/>
              <w:rPr>
                <w:rFonts w:ascii="Times New Roman" w:hAnsi="Times New Roman" w:cs="Times New Roman"/>
              </w:rPr>
            </w:pPr>
            <w:r w:rsidRPr="00531BCA">
              <w:rPr>
                <w:rFonts w:ascii="Times New Roman" w:hAnsi="Times New Roman" w:cs="Times New Roman"/>
              </w:rPr>
              <w:t>Maya</w:t>
            </w:r>
          </w:p>
        </w:tc>
        <w:tc>
          <w:tcPr>
            <w:tcW w:w="2016" w:type="dxa"/>
          </w:tcPr>
          <w:p w:rsidR="00B00893" w:rsidRPr="00576499" w:rsidRDefault="00B00893" w:rsidP="00E43702">
            <w:pPr>
              <w:jc w:val="both"/>
              <w:rPr>
                <w:rFonts w:ascii="Times New Roman" w:hAnsi="Times New Roman" w:cs="Times New Roman"/>
              </w:rPr>
            </w:pPr>
            <w:r w:rsidRPr="00576499">
              <w:rPr>
                <w:rFonts w:ascii="Times New Roman" w:hAnsi="Times New Roman" w:cs="Times New Roman"/>
              </w:rPr>
              <w:t>38%</w:t>
            </w:r>
          </w:p>
        </w:tc>
        <w:tc>
          <w:tcPr>
            <w:tcW w:w="2790" w:type="dxa"/>
          </w:tcPr>
          <w:p w:rsidR="00B00893" w:rsidRPr="00531BCA" w:rsidRDefault="00B00893" w:rsidP="00E43702">
            <w:pPr>
              <w:jc w:val="both"/>
              <w:rPr>
                <w:rFonts w:ascii="Times New Roman" w:hAnsi="Times New Roman" w:cs="Times New Roman"/>
              </w:rPr>
            </w:pPr>
            <w:r w:rsidRPr="00531BCA">
              <w:rPr>
                <w:rFonts w:ascii="Times New Roman" w:hAnsi="Times New Roman" w:cs="Times New Roman"/>
              </w:rPr>
              <w:t>18%</w:t>
            </w:r>
          </w:p>
        </w:tc>
      </w:tr>
    </w:tbl>
    <w:p w:rsidR="00B00893" w:rsidRPr="00531BCA" w:rsidRDefault="00B00893" w:rsidP="00E43702">
      <w:pPr>
        <w:spacing w:after="120"/>
        <w:ind w:firstLine="720"/>
        <w:jc w:val="both"/>
        <w:rPr>
          <w:rFonts w:ascii="Times New Roman" w:hAnsi="Times New Roman" w:cs="Times New Roman"/>
        </w:rPr>
      </w:pPr>
    </w:p>
    <w:p w:rsidR="00B00893" w:rsidRPr="00531BCA" w:rsidRDefault="00B00893" w:rsidP="00E43702">
      <w:pPr>
        <w:spacing w:after="120"/>
        <w:ind w:firstLine="720"/>
        <w:jc w:val="both"/>
        <w:rPr>
          <w:rFonts w:ascii="Times New Roman" w:hAnsi="Times New Roman" w:cs="Times New Roman"/>
        </w:rPr>
      </w:pPr>
      <w:r w:rsidRPr="00531BCA">
        <w:rPr>
          <w:rFonts w:ascii="Times New Roman" w:hAnsi="Times New Roman" w:cs="Times New Roman"/>
        </w:rPr>
        <w:t xml:space="preserve">The </w:t>
      </w:r>
      <w:r>
        <w:rPr>
          <w:rFonts w:ascii="Times New Roman" w:hAnsi="Times New Roman" w:cs="Times New Roman"/>
        </w:rPr>
        <w:t>community level findings</w:t>
      </w:r>
      <w:r w:rsidRPr="00531BCA">
        <w:rPr>
          <w:rFonts w:ascii="Times New Roman" w:hAnsi="Times New Roman" w:cs="Times New Roman"/>
        </w:rPr>
        <w:t xml:space="preserve"> </w:t>
      </w:r>
      <w:r w:rsidRPr="00867F60">
        <w:rPr>
          <w:rFonts w:ascii="Times New Roman" w:hAnsi="Times New Roman" w:cs="Times New Roman"/>
        </w:rPr>
        <w:t xml:space="preserve">echo the findings at the farmer level. </w:t>
      </w:r>
      <w:r>
        <w:rPr>
          <w:rFonts w:ascii="Times New Roman" w:hAnsi="Times New Roman" w:cs="Times New Roman"/>
        </w:rPr>
        <w:t>O</w:t>
      </w:r>
      <w:r w:rsidRPr="00576499">
        <w:rPr>
          <w:rFonts w:ascii="Times New Roman" w:hAnsi="Times New Roman" w:cs="Times New Roman"/>
        </w:rPr>
        <w:t>n average, communities in Calakmul and Maya have conserved 49</w:t>
      </w:r>
      <w:r>
        <w:rPr>
          <w:rFonts w:ascii="Times New Roman" w:hAnsi="Times New Roman" w:cs="Times New Roman"/>
        </w:rPr>
        <w:t>%</w:t>
      </w:r>
      <w:r w:rsidRPr="00576499">
        <w:rPr>
          <w:rFonts w:ascii="Times New Roman" w:hAnsi="Times New Roman" w:cs="Times New Roman"/>
        </w:rPr>
        <w:t xml:space="preserve"> and 25% of their land in old growth forest</w:t>
      </w:r>
      <w:r>
        <w:rPr>
          <w:rFonts w:ascii="Times New Roman" w:hAnsi="Times New Roman" w:cs="Times New Roman"/>
        </w:rPr>
        <w:t xml:space="preserve"> respectively</w:t>
      </w:r>
      <w:r w:rsidRPr="00576499">
        <w:rPr>
          <w:rFonts w:ascii="Times New Roman" w:hAnsi="Times New Roman" w:cs="Times New Roman"/>
        </w:rPr>
        <w:t>.</w:t>
      </w:r>
      <w:r w:rsidRPr="001A0DA8">
        <w:rPr>
          <w:rFonts w:ascii="Times New Roman" w:hAnsi="Times New Roman" w:cs="Times New Roman"/>
        </w:rPr>
        <w:t xml:space="preserve"> The communities studied in the two biosphere reserves are roughly about the same size. On average Calakmul’s studied communities are 10,310 hectares and Maya’s 12,560 hectares. Conservation at the community level is also measured through community forest reserves. In Calakmul 67% of the studied communities had either already established a forest reserve (53%) or were in the process of establishing one (14%). Only 33% of the communities had no community consensus or interest in creating a forest reserve. In contrast, community forest reserves are uncommon in Maya. Among the sampled communities 69% had no reserve, 5% were working to get one and only 26% had one</w:t>
      </w:r>
      <w:r w:rsidRPr="00531BCA">
        <w:rPr>
          <w:rFonts w:ascii="Times New Roman" w:hAnsi="Times New Roman" w:cs="Times New Roman"/>
        </w:rPr>
        <w:t>.</w:t>
      </w:r>
      <w:r>
        <w:rPr>
          <w:rFonts w:ascii="Times New Roman" w:hAnsi="Times New Roman" w:cs="Times New Roman"/>
        </w:rPr>
        <w:t xml:space="preserve"> These differences are significant at the 99% confidence level (per t tests and the Wilcoxon Mann-Whitney test).</w:t>
      </w:r>
    </w:p>
    <w:p w:rsidR="00B00893" w:rsidRPr="00867F60" w:rsidRDefault="00B00893" w:rsidP="00303615">
      <w:pPr>
        <w:spacing w:after="120"/>
        <w:rPr>
          <w:rFonts w:ascii="Times New Roman" w:hAnsi="Times New Roman" w:cs="Times New Roman"/>
          <w:b/>
        </w:rPr>
      </w:pPr>
      <w:r w:rsidRPr="00531BCA">
        <w:rPr>
          <w:rFonts w:ascii="Times New Roman" w:hAnsi="Times New Roman" w:cs="Times New Roman"/>
          <w:b/>
        </w:rPr>
        <w:t>4.2</w:t>
      </w:r>
      <w:r w:rsidRPr="00867F60">
        <w:rPr>
          <w:rFonts w:ascii="Times New Roman" w:hAnsi="Times New Roman" w:cs="Times New Roman"/>
          <w:b/>
        </w:rPr>
        <w:t>. Institutional Paths in Calakmul and Maya Biosphere Reserves</w:t>
      </w:r>
    </w:p>
    <w:p w:rsidR="00B00893" w:rsidRPr="00531BCA" w:rsidRDefault="00B00893" w:rsidP="00311609">
      <w:pPr>
        <w:spacing w:after="120"/>
        <w:ind w:firstLine="720"/>
        <w:jc w:val="both"/>
        <w:rPr>
          <w:rFonts w:ascii="Times New Roman" w:hAnsi="Times New Roman" w:cs="Times New Roman"/>
        </w:rPr>
      </w:pPr>
      <w:r w:rsidRPr="00531BCA">
        <w:rPr>
          <w:rFonts w:ascii="Times New Roman" w:hAnsi="Times New Roman" w:cs="Times New Roman"/>
        </w:rPr>
        <w:t xml:space="preserve">Past studies of this region have focused on the role agricultural development has played in deforestation, a focus that, like ours, places the decision-making of individual farmers at the center </w:t>
      </w:r>
      <w:r>
        <w:rPr>
          <w:rFonts w:ascii="Times New Roman" w:hAnsi="Times New Roman" w:cs="Times New Roman"/>
          <w:noProof/>
        </w:rPr>
        <w:t>(Bray et al., 2008; Chowdhury, 2007; Chowdhury and Turner, 2006; Ellis et al., 2017a; Ellis et al., 2017b; Furumo and Aide, 2017; Geoghegan et al., 2001; Keys, 2004; Loening and Sautter, 2005; Turner et al., 2016; Turner et al., 2004; Turner et al., 2001)</w:t>
      </w:r>
      <w:r w:rsidRPr="00531BCA">
        <w:rPr>
          <w:rFonts w:ascii="Times New Roman" w:hAnsi="Times New Roman" w:cs="Times New Roman"/>
        </w:rPr>
        <w:t xml:space="preserve">. Yet this focus cannot explain why farmers in Guatemala are less conservation oriented than those in Mexico. There are no fundamental agronomic or cultural differences between the people and forests of Calakmul and Maya that could explain why farmers in Mexico are more conservation oriented. On both sides of the border soils are poor, rainfall is seasonal, and karstic bedrock limits superficial water. Both areas became agricultural frontiers </w:t>
      </w:r>
      <w:r>
        <w:rPr>
          <w:rFonts w:ascii="Times New Roman" w:hAnsi="Times New Roman" w:cs="Times New Roman"/>
        </w:rPr>
        <w:t xml:space="preserve">in </w:t>
      </w:r>
      <w:r w:rsidRPr="00531BCA">
        <w:rPr>
          <w:rFonts w:ascii="Times New Roman" w:hAnsi="Times New Roman" w:cs="Times New Roman"/>
        </w:rPr>
        <w:t xml:space="preserve">the 1960s, meaning that there are no pre-existing cultural, political, or economic conditions that can explain why differences emerged. Both areas became subject to similar conservation regimes only 1 year apart. If anything, Mexico’s higher quality infrastructure – Calakmul is connected by well-maintained roads to several cities and major ports – would make it a more appealing target for large-scale agricultural development which is in fact leading to high rates of forest loss in neighboring municipalities in Campeche </w:t>
      </w:r>
      <w:r w:rsidRPr="00531BCA">
        <w:rPr>
          <w:rFonts w:ascii="Times New Roman" w:hAnsi="Times New Roman" w:cs="Times New Roman"/>
          <w:noProof/>
        </w:rPr>
        <w:t>(Ellis et al., 2017b)</w:t>
      </w:r>
      <w:r w:rsidRPr="00531BCA">
        <w:rPr>
          <w:rFonts w:ascii="Times New Roman" w:hAnsi="Times New Roman" w:cs="Times New Roman"/>
        </w:rPr>
        <w:t xml:space="preserve">. </w:t>
      </w:r>
    </w:p>
    <w:p w:rsidR="00B00893" w:rsidRPr="00531BCA" w:rsidRDefault="00B00893" w:rsidP="00311609">
      <w:pPr>
        <w:spacing w:after="120"/>
        <w:ind w:firstLine="720"/>
        <w:jc w:val="both"/>
        <w:rPr>
          <w:rFonts w:ascii="Times New Roman" w:hAnsi="Times New Roman" w:cs="Times New Roman"/>
        </w:rPr>
      </w:pPr>
      <w:r w:rsidRPr="00531BCA">
        <w:rPr>
          <w:rFonts w:ascii="Times New Roman" w:hAnsi="Times New Roman" w:cs="Times New Roman"/>
        </w:rPr>
        <w:t xml:space="preserve">We argue that differences in farmers’ conservation behavior can instead be explained by paths of institutional development. This argument is supported by the past work of some scholars in the region </w:t>
      </w:r>
      <w:r>
        <w:rPr>
          <w:rFonts w:ascii="Times New Roman" w:hAnsi="Times New Roman" w:cs="Times New Roman"/>
          <w:noProof/>
        </w:rPr>
        <w:t>(Bray et al., 2008; Haenn, 2005, 2006)</w:t>
      </w:r>
      <w:r w:rsidRPr="00531BCA">
        <w:rPr>
          <w:rFonts w:ascii="Times New Roman" w:hAnsi="Times New Roman" w:cs="Times New Roman"/>
        </w:rPr>
        <w:t>. Although the settlement of Calakmul and Maya was driven by similar economic and political pressures in the tw</w:t>
      </w:r>
      <w:r w:rsidRPr="00867F60">
        <w:rPr>
          <w:rFonts w:ascii="Times New Roman" w:hAnsi="Times New Roman" w:cs="Times New Roman"/>
        </w:rPr>
        <w:t xml:space="preserve">o countries, including land shortages, poverty, and civil conflict, different land tenure systems led to significant differences </w:t>
      </w:r>
      <w:r w:rsidRPr="00867F60">
        <w:rPr>
          <w:rFonts w:ascii="Times New Roman" w:hAnsi="Times New Roman" w:cs="Times New Roman"/>
        </w:rPr>
        <w:lastRenderedPageBreak/>
        <w:t>in who moved to the region, what kinds of property rights they held</w:t>
      </w:r>
      <w:r w:rsidRPr="001335AA">
        <w:rPr>
          <w:rFonts w:ascii="Times New Roman" w:hAnsi="Times New Roman" w:cs="Times New Roman"/>
        </w:rPr>
        <w:t xml:space="preserve"> and where, how equitable those rights were, and what kinds of political institutions governed them. These differences in turn shaped the political and economic opportunities that new settlers focused on – and as a result, led to very</w:t>
      </w:r>
      <w:r w:rsidRPr="00815CA2">
        <w:rPr>
          <w:rFonts w:ascii="Times New Roman" w:hAnsi="Times New Roman" w:cs="Times New Roman"/>
        </w:rPr>
        <w:t xml:space="preserve"> different patterns of land use.  </w:t>
      </w:r>
    </w:p>
    <w:p w:rsidR="00B00893" w:rsidRPr="00531BCA" w:rsidRDefault="00B00893" w:rsidP="00CA70EE">
      <w:pPr>
        <w:spacing w:after="120"/>
        <w:ind w:firstLine="720"/>
        <w:jc w:val="both"/>
        <w:rPr>
          <w:rFonts w:ascii="Times New Roman" w:hAnsi="Times New Roman" w:cs="Times New Roman"/>
          <w:b/>
        </w:rPr>
      </w:pPr>
    </w:p>
    <w:p w:rsidR="00B00893" w:rsidRPr="00815CA2" w:rsidRDefault="00B00893" w:rsidP="00A7417B">
      <w:pPr>
        <w:spacing w:after="120"/>
        <w:jc w:val="both"/>
        <w:outlineLvl w:val="0"/>
        <w:rPr>
          <w:rFonts w:ascii="Times New Roman" w:hAnsi="Times New Roman" w:cs="Times New Roman"/>
          <w:i/>
        </w:rPr>
      </w:pPr>
      <w:r w:rsidRPr="00815CA2">
        <w:rPr>
          <w:rFonts w:ascii="Times New Roman" w:hAnsi="Times New Roman" w:cs="Times New Roman"/>
          <w:i/>
        </w:rPr>
        <w:t xml:space="preserve">4.2.1 Land tenure institutions </w:t>
      </w:r>
    </w:p>
    <w:p w:rsidR="00B00893" w:rsidRPr="00531BCA" w:rsidRDefault="00B00893" w:rsidP="00B54313">
      <w:pPr>
        <w:spacing w:after="120"/>
        <w:ind w:firstLine="720"/>
        <w:jc w:val="both"/>
        <w:rPr>
          <w:rFonts w:ascii="Times New Roman" w:hAnsi="Times New Roman" w:cs="Times New Roman"/>
        </w:rPr>
      </w:pPr>
      <w:r w:rsidRPr="00531BCA">
        <w:rPr>
          <w:rFonts w:ascii="Times New Roman" w:hAnsi="Times New Roman" w:cs="Times New Roman"/>
        </w:rPr>
        <w:t>Mexico’s land distribution system insured that Calakmul was settled by groups of communally organized, economically marginal peasants</w:t>
      </w:r>
      <w:r>
        <w:rPr>
          <w:rFonts w:ascii="Times New Roman" w:hAnsi="Times New Roman" w:cs="Times New Roman"/>
        </w:rPr>
        <w:t>. These groups o</w:t>
      </w:r>
      <w:r w:rsidRPr="001335AA">
        <w:rPr>
          <w:rFonts w:ascii="Times New Roman" w:hAnsi="Times New Roman" w:cs="Times New Roman"/>
        </w:rPr>
        <w:t xml:space="preserve">btained equal plots of land in a </w:t>
      </w:r>
      <w:r w:rsidRPr="00815CA2">
        <w:rPr>
          <w:rFonts w:ascii="Times New Roman" w:hAnsi="Times New Roman" w:cs="Times New Roman"/>
        </w:rPr>
        <w:t>hybrid of common and private property, and held secure title. Mexico’s land tenure institutions</w:t>
      </w:r>
      <w:r w:rsidRPr="00A9662E">
        <w:rPr>
          <w:rFonts w:ascii="Times New Roman" w:hAnsi="Times New Roman" w:cs="Times New Roman"/>
        </w:rPr>
        <w:t>, resulting from the agrarian reform of the 20</w:t>
      </w:r>
      <w:r w:rsidRPr="00A9662E">
        <w:rPr>
          <w:rFonts w:ascii="Times New Roman" w:hAnsi="Times New Roman" w:cs="Times New Roman"/>
          <w:vertAlign w:val="superscript"/>
        </w:rPr>
        <w:t>th</w:t>
      </w:r>
      <w:r w:rsidRPr="00A9662E">
        <w:rPr>
          <w:rFonts w:ascii="Times New Roman" w:hAnsi="Times New Roman" w:cs="Times New Roman"/>
        </w:rPr>
        <w:t xml:space="preserve"> century, helped </w:t>
      </w:r>
      <w:r w:rsidRPr="00531BCA">
        <w:rPr>
          <w:rFonts w:ascii="Times New Roman" w:hAnsi="Times New Roman" w:cs="Times New Roman"/>
        </w:rPr>
        <w:t xml:space="preserve">poor but organized landless farmers get land for free in ejidos </w:t>
      </w:r>
      <w:r>
        <w:rPr>
          <w:rFonts w:ascii="Times New Roman" w:hAnsi="Times New Roman" w:cs="Times New Roman"/>
          <w:noProof/>
        </w:rPr>
        <w:t>(Calakmul, 2009; Haenn, 2006)</w:t>
      </w:r>
      <w:r w:rsidRPr="00531BCA">
        <w:rPr>
          <w:rFonts w:ascii="Times New Roman" w:hAnsi="Times New Roman" w:cs="Times New Roman"/>
        </w:rPr>
        <w:t xml:space="preserve">. Ejido land is owned </w:t>
      </w:r>
      <w:r w:rsidRPr="00867F60">
        <w:rPr>
          <w:rFonts w:ascii="Times New Roman" w:hAnsi="Times New Roman" w:cs="Times New Roman"/>
        </w:rPr>
        <w:t>collectively, with each member (ejidatario) receiving rights to a percentage of community lands.</w:t>
      </w:r>
      <w:r w:rsidRPr="00531BCA">
        <w:rPr>
          <w:rFonts w:ascii="Times New Roman" w:hAnsi="Times New Roman" w:cs="Times New Roman"/>
        </w:rPr>
        <w:t xml:space="preserve"> Based on that percentage ejidatarios calculated the number of hectares each of them could have and distributed the land accordingly </w:t>
      </w:r>
      <w:r>
        <w:rPr>
          <w:rFonts w:ascii="Times New Roman" w:hAnsi="Times New Roman" w:cs="Times New Roman"/>
          <w:noProof/>
        </w:rPr>
        <w:t>(Haenn, 2006 describes in detail how this process played out in several of Calakmul's ejidos, and how collective property rights were reinforced by agrarian reforms in the 1990s)</w:t>
      </w:r>
      <w:r w:rsidRPr="00531BCA">
        <w:rPr>
          <w:rFonts w:ascii="Times New Roman" w:hAnsi="Times New Roman" w:cs="Times New Roman"/>
        </w:rPr>
        <w:t xml:space="preserve">. Some ejidos decided to distribute all the land among the ejidatarios and others decided to distribute only some of the land and keep the rest </w:t>
      </w:r>
      <w:r>
        <w:rPr>
          <w:rFonts w:ascii="Times New Roman" w:hAnsi="Times New Roman" w:cs="Times New Roman"/>
        </w:rPr>
        <w:t>communally</w:t>
      </w:r>
      <w:r w:rsidRPr="00531BCA">
        <w:rPr>
          <w:rFonts w:ascii="Times New Roman" w:hAnsi="Times New Roman" w:cs="Times New Roman"/>
        </w:rPr>
        <w:t xml:space="preserve">. </w:t>
      </w:r>
    </w:p>
    <w:p w:rsidR="00B00893" w:rsidRPr="00867F60" w:rsidRDefault="00B00893" w:rsidP="00B54313">
      <w:pPr>
        <w:spacing w:after="120"/>
        <w:ind w:firstLine="720"/>
        <w:jc w:val="both"/>
        <w:rPr>
          <w:rFonts w:ascii="Times New Roman" w:hAnsi="Times New Roman" w:cs="Times New Roman"/>
        </w:rPr>
      </w:pPr>
      <w:r w:rsidRPr="00531BCA">
        <w:rPr>
          <w:rFonts w:ascii="Times New Roman" w:hAnsi="Times New Roman" w:cs="Times New Roman"/>
        </w:rPr>
        <w:t xml:space="preserve">While the government recognizes and respects the ability of ejidatarios to subdivide their land internally, the boundaries of individual plots within the ejido are neither mapped nor formally recognized outside of the ejido </w:t>
      </w:r>
      <w:r w:rsidRPr="00531BCA">
        <w:rPr>
          <w:rFonts w:ascii="Times New Roman" w:hAnsi="Times New Roman" w:cs="Times New Roman"/>
          <w:noProof/>
        </w:rPr>
        <w:t>(Haenn, 2006)</w:t>
      </w:r>
      <w:r w:rsidRPr="00531BCA">
        <w:rPr>
          <w:rFonts w:ascii="Times New Roman" w:hAnsi="Times New Roman" w:cs="Times New Roman"/>
        </w:rPr>
        <w:t xml:space="preserve">. Ejido land is legally </w:t>
      </w:r>
      <w:r w:rsidRPr="00867F60">
        <w:rPr>
          <w:rFonts w:ascii="Times New Roman" w:hAnsi="Times New Roman" w:cs="Times New Roman"/>
        </w:rPr>
        <w:t>owned in common and</w:t>
      </w:r>
      <w:r w:rsidRPr="00576499">
        <w:rPr>
          <w:rFonts w:ascii="Times New Roman" w:hAnsi="Times New Roman" w:cs="Times New Roman"/>
        </w:rPr>
        <w:t xml:space="preserve"> all decisions related to land use must be made among </w:t>
      </w:r>
      <w:r w:rsidRPr="001A0DA8">
        <w:rPr>
          <w:rFonts w:ascii="Times New Roman" w:hAnsi="Times New Roman" w:cs="Times New Roman"/>
        </w:rPr>
        <w:t xml:space="preserve">the ejidatarios. </w:t>
      </w:r>
      <w:r w:rsidRPr="00531BCA">
        <w:rPr>
          <w:rFonts w:ascii="Times New Roman" w:hAnsi="Times New Roman" w:cs="Times New Roman"/>
        </w:rPr>
        <w:t xml:space="preserve">Collective ownership of poor quality and/or remote lands was not appealing to those who had other economic opportunities, and thus, Calakmul’s settlers were almost uniformly from the poorest economic strata. Although reforms in the 1990s allowed ejidos </w:t>
      </w:r>
      <w:r>
        <w:rPr>
          <w:rFonts w:ascii="Times New Roman" w:hAnsi="Times New Roman" w:cs="Times New Roman"/>
        </w:rPr>
        <w:t xml:space="preserve">elsewhere </w:t>
      </w:r>
      <w:r w:rsidRPr="00531BCA">
        <w:rPr>
          <w:rFonts w:ascii="Times New Roman" w:hAnsi="Times New Roman" w:cs="Times New Roman"/>
        </w:rPr>
        <w:t xml:space="preserve">to privatize their common lands, this element of the reform was not applied to Calakmul because of the government’s concern that privatizing ejido lands would increase deforestation </w:t>
      </w:r>
      <w:r w:rsidRPr="00531BCA">
        <w:rPr>
          <w:rFonts w:ascii="Times New Roman" w:hAnsi="Times New Roman" w:cs="Times New Roman"/>
          <w:noProof/>
        </w:rPr>
        <w:t>(Haenn, 2006)</w:t>
      </w:r>
      <w:r w:rsidRPr="00531BCA">
        <w:rPr>
          <w:rFonts w:ascii="Times New Roman" w:hAnsi="Times New Roman" w:cs="Times New Roman"/>
        </w:rPr>
        <w:t xml:space="preserve">. </w:t>
      </w:r>
    </w:p>
    <w:p w:rsidR="00B00893" w:rsidRPr="00531BCA" w:rsidRDefault="00B00893" w:rsidP="003D5F9C">
      <w:pPr>
        <w:spacing w:after="120"/>
        <w:ind w:firstLine="720"/>
        <w:jc w:val="both"/>
        <w:rPr>
          <w:rFonts w:ascii="Times New Roman" w:hAnsi="Times New Roman" w:cs="Times New Roman"/>
        </w:rPr>
      </w:pPr>
      <w:r w:rsidRPr="00531BCA">
        <w:rPr>
          <w:rFonts w:ascii="Times New Roman" w:hAnsi="Times New Roman" w:cs="Times New Roman"/>
        </w:rPr>
        <w:t xml:space="preserve">In contrast, the system of land distribution in Guatemala attracted a more economically diverse set of settlers who were not organized communally, and held private property, often without secure title </w:t>
      </w:r>
      <w:r>
        <w:rPr>
          <w:rFonts w:ascii="Times New Roman" w:hAnsi="Times New Roman" w:cs="Times New Roman"/>
          <w:noProof/>
        </w:rPr>
        <w:t>(CONAP, 2001a; Kaimowitz, 1995; Schwartz, 1990)</w:t>
      </w:r>
      <w:r w:rsidRPr="00531BCA">
        <w:rPr>
          <w:rFonts w:ascii="Times New Roman" w:hAnsi="Times New Roman" w:cs="Times New Roman"/>
        </w:rPr>
        <w:t xml:space="preserve">. </w:t>
      </w:r>
      <w:r>
        <w:rPr>
          <w:rFonts w:ascii="Times New Roman" w:hAnsi="Times New Roman" w:cs="Times New Roman"/>
        </w:rPr>
        <w:t xml:space="preserve">The </w:t>
      </w:r>
      <w:r w:rsidRPr="00531BCA">
        <w:rPr>
          <w:rFonts w:ascii="Times New Roman" w:hAnsi="Times New Roman" w:cs="Times New Roman"/>
        </w:rPr>
        <w:t xml:space="preserve">Guatemalan government sold land to individuals who were not organized at the community level, </w:t>
      </w:r>
      <w:r>
        <w:rPr>
          <w:rFonts w:ascii="Times New Roman" w:hAnsi="Times New Roman" w:cs="Times New Roman"/>
        </w:rPr>
        <w:t>creating</w:t>
      </w:r>
      <w:r w:rsidRPr="00531BCA">
        <w:rPr>
          <w:rFonts w:ascii="Times New Roman" w:hAnsi="Times New Roman" w:cs="Times New Roman"/>
        </w:rPr>
        <w:t xml:space="preserve"> private property. People from Petén</w:t>
      </w:r>
      <w:r>
        <w:rPr>
          <w:rFonts w:ascii="Times New Roman" w:hAnsi="Times New Roman" w:cs="Times New Roman"/>
        </w:rPr>
        <w:t xml:space="preserve"> </w:t>
      </w:r>
      <w:r w:rsidRPr="00531BCA">
        <w:rPr>
          <w:rFonts w:ascii="Times New Roman" w:hAnsi="Times New Roman" w:cs="Times New Roman"/>
        </w:rPr>
        <w:t xml:space="preserve">were supposed to have </w:t>
      </w:r>
      <w:r>
        <w:rPr>
          <w:rFonts w:ascii="Times New Roman" w:hAnsi="Times New Roman" w:cs="Times New Roman"/>
        </w:rPr>
        <w:t xml:space="preserve">highest </w:t>
      </w:r>
      <w:r w:rsidRPr="00531BCA">
        <w:rPr>
          <w:rFonts w:ascii="Times New Roman" w:hAnsi="Times New Roman" w:cs="Times New Roman"/>
        </w:rPr>
        <w:t xml:space="preserve">priority. Peasants from other parts of the country were second in priority and people who wanted to establish large farms or cattle ranches had the lowest priority </w:t>
      </w:r>
      <w:r w:rsidRPr="00531BCA">
        <w:rPr>
          <w:rFonts w:ascii="Times New Roman" w:hAnsi="Times New Roman" w:cs="Times New Roman"/>
          <w:noProof/>
        </w:rPr>
        <w:t>(Schwartz, 1987)</w:t>
      </w:r>
      <w:r w:rsidRPr="00531BCA">
        <w:rPr>
          <w:rFonts w:ascii="Times New Roman" w:hAnsi="Times New Roman" w:cs="Times New Roman"/>
        </w:rPr>
        <w:t xml:space="preserve">. However, </w:t>
      </w:r>
      <w:r>
        <w:rPr>
          <w:rFonts w:ascii="Times New Roman" w:hAnsi="Times New Roman" w:cs="Times New Roman"/>
        </w:rPr>
        <w:t>land prices were differentiated to reflect land quality and in practice, only well-off people were able to afford the most desirable land.</w:t>
      </w:r>
      <w:r w:rsidRPr="00531BCA">
        <w:rPr>
          <w:rFonts w:ascii="Times New Roman" w:hAnsi="Times New Roman" w:cs="Times New Roman"/>
        </w:rPr>
        <w:t xml:space="preserve"> </w:t>
      </w:r>
      <w:r>
        <w:rPr>
          <w:rFonts w:ascii="Times New Roman" w:hAnsi="Times New Roman" w:cs="Times New Roman"/>
        </w:rPr>
        <w:t xml:space="preserve">This was exacerbated by the land sales agency, which was corrupt and biased in favor of wealthy cattle ranchers </w:t>
      </w:r>
      <w:r>
        <w:rPr>
          <w:rFonts w:ascii="Times New Roman" w:hAnsi="Times New Roman" w:cs="Times New Roman"/>
          <w:noProof/>
        </w:rPr>
        <w:t>(Kaimowitz, 1995; Schwartz, 1987)</w:t>
      </w:r>
      <w:r>
        <w:rPr>
          <w:rFonts w:ascii="Times New Roman" w:hAnsi="Times New Roman" w:cs="Times New Roman"/>
        </w:rPr>
        <w:t xml:space="preserve">. </w:t>
      </w:r>
      <w:r w:rsidRPr="00531BCA">
        <w:rPr>
          <w:rFonts w:ascii="Times New Roman" w:hAnsi="Times New Roman" w:cs="Times New Roman"/>
        </w:rPr>
        <w:t>In consequence, land holdings are very unequal in size and quality in Maya</w:t>
      </w:r>
      <w:r>
        <w:rPr>
          <w:rFonts w:ascii="Times New Roman" w:hAnsi="Times New Roman" w:cs="Times New Roman"/>
        </w:rPr>
        <w:t xml:space="preserve"> – a common problem throughout Guatemala</w:t>
      </w:r>
      <w:r w:rsidRPr="00867F60">
        <w:rPr>
          <w:rFonts w:ascii="Times New Roman" w:hAnsi="Times New Roman" w:cs="Times New Roman"/>
        </w:rPr>
        <w:t xml:space="preserve"> </w:t>
      </w:r>
      <w:r>
        <w:rPr>
          <w:rFonts w:ascii="Times New Roman" w:hAnsi="Times New Roman" w:cs="Times New Roman"/>
          <w:noProof/>
        </w:rPr>
        <w:t>(Clark, 2000; Sundberg, 2003)</w:t>
      </w:r>
      <w:r w:rsidRPr="00531BCA">
        <w:rPr>
          <w:rFonts w:ascii="Times New Roman" w:hAnsi="Times New Roman" w:cs="Times New Roman"/>
        </w:rPr>
        <w:t>. Unable to buy land</w:t>
      </w:r>
      <w:r>
        <w:rPr>
          <w:rFonts w:ascii="Times New Roman" w:hAnsi="Times New Roman" w:cs="Times New Roman"/>
        </w:rPr>
        <w:t>,</w:t>
      </w:r>
      <w:r w:rsidRPr="00531BCA">
        <w:rPr>
          <w:rFonts w:ascii="Times New Roman" w:hAnsi="Times New Roman" w:cs="Times New Roman"/>
        </w:rPr>
        <w:t xml:space="preserve"> some people chose to become </w:t>
      </w:r>
      <w:r w:rsidRPr="00531BCA">
        <w:rPr>
          <w:rFonts w:ascii="Times New Roman" w:hAnsi="Times New Roman" w:cs="Times New Roman"/>
          <w:i/>
        </w:rPr>
        <w:t>de facto</w:t>
      </w:r>
      <w:r w:rsidRPr="00531BCA">
        <w:rPr>
          <w:rFonts w:ascii="Times New Roman" w:hAnsi="Times New Roman" w:cs="Times New Roman"/>
        </w:rPr>
        <w:t xml:space="preserve"> landowners by participating in the informal land market, </w:t>
      </w:r>
      <w:r w:rsidRPr="00867F60">
        <w:rPr>
          <w:rFonts w:ascii="Times New Roman" w:hAnsi="Times New Roman" w:cs="Times New Roman"/>
        </w:rPr>
        <w:t xml:space="preserve">by grabbing land directly, or through speculators who sold them land. To defend their “land claims” land grabbers cleared the land and </w:t>
      </w:r>
      <w:r w:rsidRPr="001A0DA8">
        <w:rPr>
          <w:rFonts w:ascii="Times New Roman" w:hAnsi="Times New Roman" w:cs="Times New Roman"/>
        </w:rPr>
        <w:t>sometimes used force to defend their land</w:t>
      </w:r>
      <w:r w:rsidRPr="00531BCA">
        <w:rPr>
          <w:rFonts w:ascii="Times New Roman" w:hAnsi="Times New Roman" w:cs="Times New Roman"/>
        </w:rPr>
        <w:t xml:space="preserve">. Violence, high transaction costs and </w:t>
      </w:r>
      <w:r>
        <w:rPr>
          <w:rFonts w:ascii="Times New Roman" w:hAnsi="Times New Roman" w:cs="Times New Roman"/>
        </w:rPr>
        <w:t>high</w:t>
      </w:r>
      <w:r w:rsidRPr="00531BCA">
        <w:rPr>
          <w:rFonts w:ascii="Times New Roman" w:hAnsi="Times New Roman" w:cs="Times New Roman"/>
        </w:rPr>
        <w:t xml:space="preserve"> prices were factors discouraging poor and disempowered groups of migrants from acquiring land and limiting their options to work in others’ land.</w:t>
      </w:r>
    </w:p>
    <w:p w:rsidR="00B00893" w:rsidRPr="00531BCA" w:rsidRDefault="00B00893" w:rsidP="003F786B">
      <w:pPr>
        <w:spacing w:after="120"/>
        <w:ind w:firstLine="720"/>
        <w:jc w:val="both"/>
        <w:rPr>
          <w:rFonts w:ascii="Times New Roman" w:hAnsi="Times New Roman" w:cs="Times New Roman"/>
        </w:rPr>
      </w:pPr>
    </w:p>
    <w:p w:rsidR="00B00893" w:rsidRPr="00867F60" w:rsidRDefault="00B00893" w:rsidP="00A7417B">
      <w:pPr>
        <w:spacing w:after="120"/>
        <w:jc w:val="both"/>
        <w:outlineLvl w:val="0"/>
        <w:rPr>
          <w:rFonts w:ascii="Times New Roman" w:hAnsi="Times New Roman" w:cs="Times New Roman"/>
          <w:i/>
        </w:rPr>
      </w:pPr>
      <w:r w:rsidRPr="00531BCA">
        <w:rPr>
          <w:rFonts w:ascii="Times New Roman" w:hAnsi="Times New Roman" w:cs="Times New Roman"/>
          <w:i/>
        </w:rPr>
        <w:lastRenderedPageBreak/>
        <w:t>4.2</w:t>
      </w:r>
      <w:r w:rsidRPr="00867F60">
        <w:rPr>
          <w:rFonts w:ascii="Times New Roman" w:hAnsi="Times New Roman" w:cs="Times New Roman"/>
          <w:i/>
        </w:rPr>
        <w:t>.2 Institutions influence on economic and demographic configurations</w:t>
      </w:r>
    </w:p>
    <w:p w:rsidR="00B00893" w:rsidRPr="00531BCA" w:rsidRDefault="00B00893" w:rsidP="007B5ABB">
      <w:pPr>
        <w:spacing w:after="120"/>
        <w:jc w:val="both"/>
        <w:rPr>
          <w:rFonts w:ascii="Times New Roman" w:hAnsi="Times New Roman" w:cs="Times New Roman"/>
        </w:rPr>
      </w:pPr>
      <w:r w:rsidRPr="00576499">
        <w:rPr>
          <w:rFonts w:ascii="Times New Roman" w:hAnsi="Times New Roman" w:cs="Times New Roman"/>
        </w:rPr>
        <w:t>The sharp contrast between Mexican and Guatemalan institutions guiding the land d</w:t>
      </w:r>
      <w:r w:rsidRPr="001A0DA8">
        <w:rPr>
          <w:rFonts w:ascii="Times New Roman" w:hAnsi="Times New Roman" w:cs="Times New Roman"/>
        </w:rPr>
        <w:t xml:space="preserve">istribution and land tenure for the new settlements </w:t>
      </w:r>
      <w:r w:rsidRPr="00531BCA">
        <w:rPr>
          <w:rFonts w:ascii="Times New Roman" w:hAnsi="Times New Roman" w:cs="Times New Roman"/>
        </w:rPr>
        <w:t>indirectly affected land use change and conservation at the household and community level by shaping economic, political, and demographic differences. Farmers in Calakmul own more land than farmers in Maya, which gives them the option to clear forest and still keep a relatively large proportion of their plot covered with forest. These larger plot sizes are a direct result of the process of land distribution under Mexico’s agrarian reform, which limited migration by granting rights to a limited number of ejidatarios. Farmers in Calakmul cleared forest gradually over the years after they arrived. Many farmers told the first author that as new landowners they were driven by their desire to work the land.</w:t>
      </w:r>
      <w:r>
        <w:rPr>
          <w:rFonts w:ascii="Times New Roman" w:hAnsi="Times New Roman" w:cs="Times New Roman"/>
        </w:rPr>
        <w:t xml:space="preserve"> S</w:t>
      </w:r>
      <w:r w:rsidRPr="00531BCA">
        <w:rPr>
          <w:rFonts w:ascii="Times New Roman" w:hAnsi="Times New Roman" w:cs="Times New Roman"/>
        </w:rPr>
        <w:t>oil fertility was higher, and weed pressure lower, on newly cleared swiddens</w:t>
      </w:r>
      <w:r>
        <w:rPr>
          <w:rFonts w:ascii="Times New Roman" w:hAnsi="Times New Roman" w:cs="Times New Roman"/>
        </w:rPr>
        <w:t xml:space="preserve">, and farmers received financial support for clearing land </w:t>
      </w:r>
      <w:r>
        <w:rPr>
          <w:rFonts w:ascii="Times New Roman" w:hAnsi="Times New Roman" w:cs="Times New Roman"/>
          <w:noProof/>
        </w:rPr>
        <w:t>(Keys, 2004)</w:t>
      </w:r>
      <w:r w:rsidRPr="00531BCA">
        <w:rPr>
          <w:rFonts w:ascii="Times New Roman" w:hAnsi="Times New Roman" w:cs="Times New Roman"/>
        </w:rPr>
        <w:t>. But once old swiddens had succeeded to young secondary forest</w:t>
      </w:r>
      <w:r>
        <w:rPr>
          <w:rFonts w:ascii="Times New Roman" w:hAnsi="Times New Roman" w:cs="Times New Roman"/>
        </w:rPr>
        <w:t>/ old fallows</w:t>
      </w:r>
      <w:r w:rsidRPr="00531BCA">
        <w:rPr>
          <w:rFonts w:ascii="Times New Roman" w:hAnsi="Times New Roman" w:cs="Times New Roman"/>
        </w:rPr>
        <w:t xml:space="preserve">, it was easier for farmers to clear fields that had young secondary forest on them </w:t>
      </w:r>
      <w:r>
        <w:rPr>
          <w:rFonts w:ascii="Times New Roman" w:hAnsi="Times New Roman" w:cs="Times New Roman"/>
        </w:rPr>
        <w:t>and to work on lands with less stumps and roots</w:t>
      </w:r>
      <w:r w:rsidRPr="00531BCA">
        <w:rPr>
          <w:rFonts w:ascii="Times New Roman" w:hAnsi="Times New Roman" w:cs="Times New Roman"/>
        </w:rPr>
        <w:t xml:space="preserve"> than to undertake the very difficult labor of clearing old-growth forest, preventing them from cutting 100% of their plot. </w:t>
      </w:r>
      <w:r>
        <w:rPr>
          <w:rFonts w:ascii="Times New Roman" w:hAnsi="Times New Roman" w:cs="Times New Roman"/>
        </w:rPr>
        <w:t>O</w:t>
      </w:r>
      <w:r w:rsidRPr="00531BCA">
        <w:rPr>
          <w:rFonts w:ascii="Times New Roman" w:hAnsi="Times New Roman" w:cs="Times New Roman"/>
        </w:rPr>
        <w:t>ld fallows were easier to clear than mature forest</w:t>
      </w:r>
      <w:r>
        <w:rPr>
          <w:rFonts w:ascii="Times New Roman" w:hAnsi="Times New Roman" w:cs="Times New Roman"/>
        </w:rPr>
        <w:t xml:space="preserve"> and</w:t>
      </w:r>
      <w:r w:rsidRPr="00531BCA">
        <w:rPr>
          <w:rFonts w:ascii="Times New Roman" w:hAnsi="Times New Roman" w:cs="Times New Roman"/>
        </w:rPr>
        <w:t xml:space="preserve"> ha</w:t>
      </w:r>
      <w:r>
        <w:rPr>
          <w:rFonts w:ascii="Times New Roman" w:hAnsi="Times New Roman" w:cs="Times New Roman"/>
        </w:rPr>
        <w:t>d</w:t>
      </w:r>
      <w:r w:rsidRPr="00531BCA">
        <w:rPr>
          <w:rFonts w:ascii="Times New Roman" w:hAnsi="Times New Roman" w:cs="Times New Roman"/>
        </w:rPr>
        <w:t xml:space="preserve"> similar benefits in terms of fertility</w:t>
      </w:r>
      <w:r>
        <w:rPr>
          <w:rFonts w:ascii="Times New Roman" w:hAnsi="Times New Roman" w:cs="Times New Roman"/>
        </w:rPr>
        <w:t xml:space="preserve"> </w:t>
      </w:r>
      <w:r w:rsidR="00256C69">
        <w:rPr>
          <w:rFonts w:ascii="Times New Roman" w:hAnsi="Times New Roman" w:cs="Times New Roman"/>
          <w:noProof/>
        </w:rPr>
        <w:t>(Bray and Klepeis, 2005</w:t>
      </w:r>
      <w:r>
        <w:rPr>
          <w:rFonts w:ascii="Times New Roman" w:hAnsi="Times New Roman" w:cs="Times New Roman"/>
          <w:noProof/>
        </w:rPr>
        <w:t>; Turner et al., 2001)</w:t>
      </w:r>
      <w:r>
        <w:rPr>
          <w:rFonts w:ascii="Times New Roman" w:hAnsi="Times New Roman" w:cs="Times New Roman"/>
        </w:rPr>
        <w:t xml:space="preserve">. This is consistent with Turner et al.’s analysis of forest recovery </w:t>
      </w:r>
      <w:r>
        <w:rPr>
          <w:rFonts w:ascii="Times New Roman" w:hAnsi="Times New Roman" w:cs="Times New Roman"/>
          <w:noProof/>
        </w:rPr>
        <w:t>(2001)</w:t>
      </w:r>
      <w:r>
        <w:rPr>
          <w:rFonts w:ascii="Times New Roman" w:hAnsi="Times New Roman" w:cs="Times New Roman"/>
        </w:rPr>
        <w:t>.</w:t>
      </w:r>
      <w:r w:rsidRPr="00531BCA">
        <w:rPr>
          <w:rFonts w:ascii="Times New Roman" w:hAnsi="Times New Roman" w:cs="Times New Roman"/>
        </w:rPr>
        <w:t xml:space="preserve"> </w:t>
      </w:r>
      <w:r>
        <w:rPr>
          <w:rFonts w:ascii="Times New Roman" w:hAnsi="Times New Roman" w:cs="Times New Roman"/>
        </w:rPr>
        <w:t>During the period when jalape</w:t>
      </w:r>
      <w:r w:rsidRPr="00553C62">
        <w:rPr>
          <w:rFonts w:ascii="Times New Roman" w:hAnsi="Times New Roman" w:cs="Times New Roman"/>
        </w:rPr>
        <w:t>ñ</w:t>
      </w:r>
      <w:r>
        <w:rPr>
          <w:rFonts w:ascii="Times New Roman" w:hAnsi="Times New Roman" w:cs="Times New Roman"/>
        </w:rPr>
        <w:t xml:space="preserve">o chili emerged as a major cash crop, high pest pressure and greater availability of capital encouraged further clearing of old growth forests </w:t>
      </w:r>
      <w:r>
        <w:rPr>
          <w:rFonts w:ascii="Times New Roman" w:hAnsi="Times New Roman" w:cs="Times New Roman"/>
          <w:noProof/>
        </w:rPr>
        <w:t>(Bray and Klepeis, 2005; Keys, 2004)</w:t>
      </w:r>
      <w:r>
        <w:rPr>
          <w:rFonts w:ascii="Times New Roman" w:hAnsi="Times New Roman" w:cs="Times New Roman"/>
        </w:rPr>
        <w:t>, however commercial chili production ceased to be a major land use after the early 2000s. Cattle ranching was limited by the scarcity of superficial water supplies as well as by the limited capital available to subsistence farmers. Some</w:t>
      </w:r>
      <w:r w:rsidRPr="00531BCA">
        <w:rPr>
          <w:rFonts w:ascii="Times New Roman" w:hAnsi="Times New Roman" w:cs="Times New Roman"/>
        </w:rPr>
        <w:t xml:space="preserve"> ejidos chose to keep some of their land as a communal holding, as the land they were given was more than sufficient to provide all ejidatarios a subsistence livelihood.</w:t>
      </w:r>
    </w:p>
    <w:p w:rsidR="00B00893" w:rsidRPr="00531BCA" w:rsidRDefault="00B00893" w:rsidP="00E73962">
      <w:pPr>
        <w:ind w:firstLine="720"/>
        <w:jc w:val="both"/>
        <w:rPr>
          <w:rFonts w:ascii="Times New Roman" w:hAnsi="Times New Roman" w:cs="Times New Roman"/>
        </w:rPr>
      </w:pPr>
      <w:r w:rsidRPr="00531BCA">
        <w:rPr>
          <w:rFonts w:ascii="Times New Roman" w:hAnsi="Times New Roman" w:cs="Times New Roman"/>
        </w:rPr>
        <w:t xml:space="preserve">In contrast, the land tenure system of northern Petén encouraged the entrance of well-capitalized large landowners. The presence of large landholders is critical for forest conservation differences between Calakmul and Maya because they built extensive cattle ranches in the region. These large landholders had financial means to transform the forest into pastures. And while only 9% of households in Calakmul did not own land, 36% percent of households in Maya were landless, providing a reserve of cheap labor for wealthy landowners to hire. </w:t>
      </w:r>
    </w:p>
    <w:p w:rsidR="00B00893" w:rsidRPr="00531BCA" w:rsidRDefault="00B00893" w:rsidP="00E73962">
      <w:pPr>
        <w:ind w:firstLine="720"/>
        <w:jc w:val="both"/>
        <w:rPr>
          <w:rFonts w:ascii="Times New Roman" w:hAnsi="Times New Roman" w:cs="Times New Roman"/>
        </w:rPr>
      </w:pPr>
    </w:p>
    <w:p w:rsidR="00B00893" w:rsidRPr="00531BCA" w:rsidRDefault="00B00893" w:rsidP="00F06C7E">
      <w:pPr>
        <w:spacing w:after="120"/>
        <w:ind w:firstLine="720"/>
        <w:jc w:val="both"/>
        <w:rPr>
          <w:rFonts w:ascii="Times New Roman" w:hAnsi="Times New Roman" w:cs="Times New Roman"/>
        </w:rPr>
      </w:pPr>
      <w:r w:rsidRPr="00531BCA">
        <w:rPr>
          <w:rFonts w:ascii="Times New Roman" w:hAnsi="Times New Roman" w:cs="Times New Roman"/>
        </w:rPr>
        <w:t>Land tenure systems also shaped differences in population size and distribution. Communities as well as households grew larger in Maya than in Calakmul.</w:t>
      </w:r>
      <w:r>
        <w:rPr>
          <w:rFonts w:ascii="Times New Roman" w:hAnsi="Times New Roman" w:cs="Times New Roman"/>
        </w:rPr>
        <w:t xml:space="preserve"> There are a total of 204 communities in Maya and 81 in Calakmul.</w:t>
      </w:r>
      <w:r w:rsidRPr="00531BCA">
        <w:rPr>
          <w:rFonts w:ascii="Times New Roman" w:hAnsi="Times New Roman" w:cs="Times New Roman"/>
        </w:rPr>
        <w:t xml:space="preserve"> Mexico’s allocation of land to ejidos helped to limit the number of people that came to the region</w:t>
      </w:r>
      <w:r>
        <w:rPr>
          <w:rFonts w:ascii="Times New Roman" w:hAnsi="Times New Roman" w:cs="Times New Roman"/>
        </w:rPr>
        <w:t xml:space="preserve"> </w:t>
      </w:r>
      <w:r w:rsidR="00256C69">
        <w:rPr>
          <w:rFonts w:ascii="Times New Roman" w:hAnsi="Times New Roman" w:cs="Times New Roman"/>
          <w:noProof/>
        </w:rPr>
        <w:t>(Bray and Klepeis, 2005</w:t>
      </w:r>
      <w:r>
        <w:rPr>
          <w:rFonts w:ascii="Times New Roman" w:hAnsi="Times New Roman" w:cs="Times New Roman"/>
          <w:noProof/>
        </w:rPr>
        <w:t>)</w:t>
      </w:r>
      <w:r w:rsidRPr="00531BCA">
        <w:rPr>
          <w:rFonts w:ascii="Times New Roman" w:hAnsi="Times New Roman" w:cs="Times New Roman"/>
        </w:rPr>
        <w:t xml:space="preserve">. Each ejido was created for a specific number of farmers based on the size of the land that was allocated to each ejido. Farmers told the first author that once the total number of ejidatarios (farmers with land rights) was completed people who were interested in getting land organized or joined another group of ejidatarios to create a new ejido. There were no incentives to stay in ejidos that were already complete because there were opportunities to get land titles in other ejidos in the Calakmul region. There were no opportunities to claim land in complete ejidos because the law protected the rights of ejidatarios against encroachment. Limiting the population of each ejido meant that each ejidatario received a relatively large de facto land holding. Although both Calakmul and Maya were frontiers remote from state authority, ejido rules appear to have been more widely respected in Calakmul than property rules in Maya, perhaps because the Mexican state during this period was relatively more capable and stable, or because Mexican peasants strongly believed in the </w:t>
      </w:r>
      <w:r w:rsidRPr="00531BCA">
        <w:rPr>
          <w:rFonts w:ascii="Times New Roman" w:hAnsi="Times New Roman" w:cs="Times New Roman"/>
        </w:rPr>
        <w:lastRenderedPageBreak/>
        <w:t xml:space="preserve">agrarian reform as an outcome of a revolution which their ancestors fought for </w:t>
      </w:r>
      <w:r w:rsidRPr="00531BCA">
        <w:rPr>
          <w:rFonts w:ascii="Times New Roman" w:hAnsi="Times New Roman" w:cs="Times New Roman"/>
          <w:noProof/>
        </w:rPr>
        <w:t>(Haenn, 2006)</w:t>
      </w:r>
      <w:r w:rsidRPr="00531BCA">
        <w:rPr>
          <w:rFonts w:ascii="Times New Roman" w:hAnsi="Times New Roman" w:cs="Times New Roman"/>
        </w:rPr>
        <w:t xml:space="preserve">. Ejido land tenure rules thus constrained </w:t>
      </w:r>
      <w:r w:rsidRPr="00867F60">
        <w:rPr>
          <w:rFonts w:ascii="Times New Roman" w:hAnsi="Times New Roman" w:cs="Times New Roman"/>
        </w:rPr>
        <w:t>communities’ size, and insured that farmers were able to maintain large plot sizes</w:t>
      </w:r>
      <w:r w:rsidRPr="00531BCA">
        <w:rPr>
          <w:rFonts w:ascii="Times New Roman" w:hAnsi="Times New Roman" w:cs="Times New Roman"/>
        </w:rPr>
        <w:t xml:space="preserve">. The number of communities was also constrained by the creation of the biosphere reserve in 1989 and a constitutional amendment in 1992 that halted land distribution and hence the creation of new communities. </w:t>
      </w:r>
    </w:p>
    <w:p w:rsidR="00B00893" w:rsidRPr="00531BCA" w:rsidRDefault="00B00893" w:rsidP="00540F23">
      <w:pPr>
        <w:spacing w:after="120"/>
        <w:ind w:firstLine="720"/>
        <w:jc w:val="both"/>
        <w:rPr>
          <w:rFonts w:ascii="Times New Roman" w:hAnsi="Times New Roman" w:cs="Times New Roman"/>
        </w:rPr>
      </w:pPr>
      <w:r w:rsidRPr="00531BCA">
        <w:rPr>
          <w:rFonts w:ascii="Times New Roman" w:hAnsi="Times New Roman" w:cs="Times New Roman"/>
        </w:rPr>
        <w:t>In Petén land allocation was uneven. According to field informants, the policy was to allocate 5 to 15 caballerias (224 to 672 hectares) to cattle ranchers and from 1 to 5 (44.8 to 224 hectares) to farmers, but in practice each buyer could get as much as he wanted and divide it later on, if he wished. Land accumulation was large, but also land fragmentation. Many small lots were created</w:t>
      </w:r>
      <w:r w:rsidRPr="00867F60">
        <w:rPr>
          <w:rFonts w:ascii="Times New Roman" w:hAnsi="Times New Roman" w:cs="Times New Roman"/>
        </w:rPr>
        <w:t xml:space="preserve"> over the years. </w:t>
      </w:r>
      <w:r w:rsidRPr="00531BCA">
        <w:rPr>
          <w:rFonts w:ascii="Times New Roman" w:hAnsi="Times New Roman" w:cs="Times New Roman"/>
        </w:rPr>
        <w:t xml:space="preserve">The Maya Biosphere Reserve was created in 1990 and like Calakmul it constrained the creation of new communities, but contrary to Calakmul, Petén did not have the institutional means to constrain demographic growth beyond birthrate within communities, resulting in further division of lands, and smaller plot sizes. </w:t>
      </w:r>
    </w:p>
    <w:p w:rsidR="00B00893" w:rsidRPr="00531BCA" w:rsidRDefault="00B00893" w:rsidP="00A7417B">
      <w:pPr>
        <w:spacing w:after="120"/>
        <w:jc w:val="both"/>
        <w:outlineLvl w:val="0"/>
        <w:rPr>
          <w:rFonts w:ascii="Times New Roman" w:hAnsi="Times New Roman" w:cs="Times New Roman"/>
          <w:i/>
        </w:rPr>
      </w:pPr>
      <w:r w:rsidRPr="00531BCA">
        <w:rPr>
          <w:rFonts w:ascii="Times New Roman" w:hAnsi="Times New Roman" w:cs="Times New Roman"/>
          <w:i/>
        </w:rPr>
        <w:t>4.2.3 Institutional influences on security of land tenure and community organization</w:t>
      </w:r>
    </w:p>
    <w:p w:rsidR="00B00893" w:rsidRPr="00531BCA" w:rsidRDefault="00B00893" w:rsidP="00B47A1A">
      <w:pPr>
        <w:spacing w:after="120"/>
        <w:ind w:firstLine="720"/>
        <w:jc w:val="both"/>
        <w:rPr>
          <w:rFonts w:ascii="Times New Roman" w:hAnsi="Times New Roman" w:cs="Times New Roman"/>
        </w:rPr>
      </w:pPr>
      <w:r w:rsidRPr="00531BCA">
        <w:rPr>
          <w:rFonts w:ascii="Times New Roman" w:hAnsi="Times New Roman" w:cs="Times New Roman"/>
        </w:rPr>
        <w:t>Guatemala’s land privatization, based on discriminatory prices</w:t>
      </w:r>
      <w:r>
        <w:rPr>
          <w:rFonts w:ascii="Times New Roman" w:hAnsi="Times New Roman" w:cs="Times New Roman"/>
        </w:rPr>
        <w:t>,</w:t>
      </w:r>
      <w:r w:rsidRPr="00531BCA">
        <w:rPr>
          <w:rFonts w:ascii="Times New Roman" w:hAnsi="Times New Roman" w:cs="Times New Roman"/>
        </w:rPr>
        <w:t xml:space="preserve"> high transaction costs favoring large landholders, and lack of rule of law led to intense deforestation during the settlement period. In Petén small farmers cleared more than small farmers in Calakmul due to their need to secure their formal or informal land rights. Farmers with legal land rights told the first author that they often had to make sure illegal settlers did not encroach their land. Other small farmers ensure their land claims by clearing and confronting anyone who also wanted the land, becoming de facto landowners. </w:t>
      </w:r>
    </w:p>
    <w:p w:rsidR="00B00893" w:rsidRPr="00531BCA" w:rsidRDefault="00B00893" w:rsidP="00B47A1A">
      <w:pPr>
        <w:spacing w:after="120"/>
        <w:ind w:firstLine="720"/>
        <w:jc w:val="both"/>
        <w:rPr>
          <w:rFonts w:ascii="Times New Roman" w:hAnsi="Times New Roman" w:cs="Times New Roman"/>
        </w:rPr>
      </w:pPr>
      <w:r w:rsidRPr="00531BCA">
        <w:rPr>
          <w:rFonts w:ascii="Times New Roman" w:hAnsi="Times New Roman" w:cs="Times New Roman"/>
        </w:rPr>
        <w:t xml:space="preserve">According to the interviewees, tenure uncertainty was not an issue for Calakmul’s farmers during this period, and it was unnecessary to clear land to establish claims. The law gave ejidatarios secure rights and the power to stop others from encroaching. Newcomers did not challenge the rights of ejidatarios already established because their interest was in land rights and they were able to get them until 1992 when constitutional amendments halted land distribution </w:t>
      </w:r>
      <w:r w:rsidRPr="00531BCA">
        <w:rPr>
          <w:rFonts w:ascii="Times New Roman" w:hAnsi="Times New Roman" w:cs="Times New Roman"/>
          <w:noProof/>
        </w:rPr>
        <w:t>(Bray et al., 2008)</w:t>
      </w:r>
      <w:r w:rsidRPr="00531BCA">
        <w:rPr>
          <w:rFonts w:ascii="Times New Roman" w:hAnsi="Times New Roman" w:cs="Times New Roman"/>
        </w:rPr>
        <w:t xml:space="preserve">. </w:t>
      </w:r>
      <w:r>
        <w:rPr>
          <w:rFonts w:ascii="Times New Roman" w:hAnsi="Times New Roman" w:cs="Times New Roman"/>
        </w:rPr>
        <w:t xml:space="preserve">Prior to this reform, ejidatarios were not able </w:t>
      </w:r>
      <w:r w:rsidRPr="00531BCA">
        <w:rPr>
          <w:rFonts w:ascii="Times New Roman" w:hAnsi="Times New Roman" w:cs="Times New Roman"/>
        </w:rPr>
        <w:t xml:space="preserve">to sell their land rights. </w:t>
      </w:r>
      <w:r>
        <w:rPr>
          <w:rFonts w:ascii="Times New Roman" w:hAnsi="Times New Roman" w:cs="Times New Roman"/>
        </w:rPr>
        <w:t>I</w:t>
      </w:r>
      <w:r w:rsidRPr="00531BCA">
        <w:rPr>
          <w:rFonts w:ascii="Times New Roman" w:hAnsi="Times New Roman" w:cs="Times New Roman"/>
        </w:rPr>
        <w:t>n practice these reforms reinforced limitations on the number of ejidatarios in Calakmul, even while allowing for legal land exchanges</w:t>
      </w:r>
      <w:r>
        <w:rPr>
          <w:rFonts w:ascii="Times New Roman" w:hAnsi="Times New Roman" w:cs="Times New Roman"/>
        </w:rPr>
        <w:t xml:space="preserve"> (Haenn 2006)</w:t>
      </w:r>
      <w:r w:rsidRPr="00531BCA">
        <w:rPr>
          <w:rFonts w:ascii="Times New Roman" w:hAnsi="Times New Roman" w:cs="Times New Roman"/>
        </w:rPr>
        <w:t xml:space="preserve">. After 1992, Calakmul was functionally closed to new migrants. The allocation of plots within ejidos is an internal agreement among ejidatarios and not recognized legally by the government. </w:t>
      </w:r>
      <w:r>
        <w:rPr>
          <w:rFonts w:ascii="Times New Roman" w:hAnsi="Times New Roman" w:cs="Times New Roman"/>
        </w:rPr>
        <w:t xml:space="preserve">Legally, farmers do not own an specific piece of land, but a percentage of the community land without specific location. </w:t>
      </w:r>
      <w:r w:rsidRPr="00531BCA">
        <w:rPr>
          <w:rFonts w:ascii="Times New Roman" w:hAnsi="Times New Roman" w:cs="Times New Roman"/>
        </w:rPr>
        <w:t xml:space="preserve">In consequence communities in Calakmul are relatively small, and up to the present time most of the families in the ejidos are either landowners or relatives of landowners. </w:t>
      </w:r>
    </w:p>
    <w:p w:rsidR="00B00893" w:rsidRPr="00531BCA" w:rsidRDefault="00B00893" w:rsidP="00161D81">
      <w:pPr>
        <w:ind w:firstLine="720"/>
        <w:jc w:val="both"/>
        <w:rPr>
          <w:rFonts w:ascii="Times New Roman" w:hAnsi="Times New Roman" w:cs="Times New Roman"/>
        </w:rPr>
      </w:pPr>
      <w:r>
        <w:rPr>
          <w:rFonts w:ascii="Times New Roman" w:hAnsi="Times New Roman" w:cs="Times New Roman"/>
        </w:rPr>
        <w:t>Collective ejido tenure</w:t>
      </w:r>
      <w:r w:rsidRPr="00531BCA">
        <w:rPr>
          <w:rFonts w:ascii="Times New Roman" w:hAnsi="Times New Roman" w:cs="Times New Roman"/>
        </w:rPr>
        <w:t xml:space="preserve"> required Mexican farmers to create community based governance structures through which all ejido members participate in decision making. Our observations of community meetings and interviews with ejidatarios indicate that while not everyone engages at the same level, either because they are not inclined to do so or because they feel intimidated by fellow community members, all ejidatarios have the right to participate in the decision-making and to become community leaders. The ejido governance structure, while far from idyllic </w:t>
      </w:r>
      <w:r w:rsidRPr="00531BCA">
        <w:rPr>
          <w:rFonts w:ascii="Times New Roman" w:hAnsi="Times New Roman" w:cs="Times New Roman"/>
          <w:noProof/>
        </w:rPr>
        <w:t>(Navarro-Olmedo et al., 2016)</w:t>
      </w:r>
      <w:r w:rsidRPr="00531BCA">
        <w:rPr>
          <w:rFonts w:ascii="Times New Roman" w:hAnsi="Times New Roman" w:cs="Times New Roman"/>
        </w:rPr>
        <w:t xml:space="preserve">, </w:t>
      </w:r>
      <w:r w:rsidRPr="00867F60">
        <w:rPr>
          <w:rFonts w:ascii="Times New Roman" w:hAnsi="Times New Roman" w:cs="Times New Roman"/>
        </w:rPr>
        <w:t xml:space="preserve">facilitates social participation, </w:t>
      </w:r>
      <w:r w:rsidRPr="00576499">
        <w:rPr>
          <w:rFonts w:ascii="Times New Roman" w:hAnsi="Times New Roman" w:cs="Times New Roman"/>
        </w:rPr>
        <w:t xml:space="preserve">human and political capital development, </w:t>
      </w:r>
      <w:r w:rsidRPr="001A0DA8">
        <w:rPr>
          <w:rFonts w:ascii="Times New Roman" w:hAnsi="Times New Roman" w:cs="Times New Roman"/>
        </w:rPr>
        <w:t xml:space="preserve">equality among </w:t>
      </w:r>
      <w:r w:rsidRPr="00531BCA">
        <w:rPr>
          <w:rFonts w:ascii="Times New Roman" w:hAnsi="Times New Roman" w:cs="Times New Roman"/>
        </w:rPr>
        <w:t xml:space="preserve">ejidatarios, and social organization. Within ejidos farmers manage their plots autonomously. Nonetheless, as some ejidos require members who wish to sell their land or extract wood to inform or request permission from the community council.  </w:t>
      </w:r>
    </w:p>
    <w:p w:rsidR="00B00893" w:rsidRPr="00531BCA" w:rsidRDefault="00B00893">
      <w:pPr>
        <w:ind w:firstLine="720"/>
        <w:jc w:val="both"/>
        <w:rPr>
          <w:rFonts w:ascii="Times New Roman" w:hAnsi="Times New Roman" w:cs="Times New Roman"/>
        </w:rPr>
      </w:pPr>
      <w:r w:rsidRPr="00531BCA">
        <w:rPr>
          <w:rFonts w:ascii="Times New Roman" w:hAnsi="Times New Roman" w:cs="Times New Roman"/>
        </w:rPr>
        <w:lastRenderedPageBreak/>
        <w:t xml:space="preserve"> By contrast, In Petén community members are either private landowners or landless. There are no mechanisms that bring them together to make decisions at the community level. The lack of community structures where people must come together to discuss community affairs reduces the spaces available for people to gain information, build human, social and political capital and to participate in community decision making. As a result, land decision-making is fragmented and based on unequal access to information and resources. As we describe in section 4.3.1, below, poorer access to decision-making fora have left residents of Maya with fewer opportunities to learn about new livelihood opportunities, make collective management decisions, or engage with conservation initiatives, contributing to their lower level of conservation behavior. </w:t>
      </w:r>
    </w:p>
    <w:p w:rsidR="00B00893" w:rsidRPr="00531BCA" w:rsidRDefault="00B00893" w:rsidP="00DB3045">
      <w:pPr>
        <w:spacing w:after="120"/>
        <w:ind w:firstLine="720"/>
        <w:jc w:val="both"/>
        <w:rPr>
          <w:rFonts w:ascii="Times New Roman" w:hAnsi="Times New Roman" w:cs="Times New Roman"/>
        </w:rPr>
      </w:pPr>
    </w:p>
    <w:p w:rsidR="00B00893" w:rsidRPr="00531BCA" w:rsidRDefault="00B00893" w:rsidP="00A7417B">
      <w:pPr>
        <w:spacing w:after="120"/>
        <w:jc w:val="both"/>
        <w:outlineLvl w:val="0"/>
        <w:rPr>
          <w:rFonts w:ascii="Times New Roman" w:hAnsi="Times New Roman" w:cs="Times New Roman"/>
          <w:b/>
        </w:rPr>
      </w:pPr>
      <w:r w:rsidRPr="00531BCA">
        <w:rPr>
          <w:rFonts w:ascii="Times New Roman" w:hAnsi="Times New Roman" w:cs="Times New Roman"/>
          <w:b/>
        </w:rPr>
        <w:t>4.3 Conserving the Maya Forest</w:t>
      </w:r>
    </w:p>
    <w:p w:rsidR="00B00893" w:rsidRPr="00531BCA" w:rsidRDefault="00B00893" w:rsidP="00386ECF">
      <w:pPr>
        <w:spacing w:after="120"/>
        <w:ind w:firstLine="720"/>
        <w:jc w:val="both"/>
        <w:rPr>
          <w:rFonts w:ascii="Times New Roman" w:hAnsi="Times New Roman" w:cs="Times New Roman"/>
        </w:rPr>
      </w:pPr>
      <w:r w:rsidRPr="00531BCA">
        <w:rPr>
          <w:rFonts w:ascii="Times New Roman" w:hAnsi="Times New Roman" w:cs="Times New Roman"/>
        </w:rPr>
        <w:t xml:space="preserve">Beginning in the 1980s, </w:t>
      </w:r>
      <w:r>
        <w:rPr>
          <w:rFonts w:ascii="Times New Roman" w:hAnsi="Times New Roman" w:cs="Times New Roman"/>
        </w:rPr>
        <w:t xml:space="preserve">biodiversity </w:t>
      </w:r>
      <w:r w:rsidRPr="00531BCA">
        <w:rPr>
          <w:rFonts w:ascii="Times New Roman" w:hAnsi="Times New Roman" w:cs="Times New Roman"/>
        </w:rPr>
        <w:t>conservation</w:t>
      </w:r>
      <w:r>
        <w:rPr>
          <w:rFonts w:ascii="Times New Roman" w:hAnsi="Times New Roman" w:cs="Times New Roman"/>
        </w:rPr>
        <w:t xml:space="preserve"> efforts became important in</w:t>
      </w:r>
      <w:r w:rsidRPr="00531BCA">
        <w:rPr>
          <w:rFonts w:ascii="Times New Roman" w:hAnsi="Times New Roman" w:cs="Times New Roman"/>
        </w:rPr>
        <w:t xml:space="preserve"> the </w:t>
      </w:r>
      <w:r>
        <w:rPr>
          <w:rFonts w:ascii="Times New Roman" w:hAnsi="Times New Roman" w:cs="Times New Roman"/>
        </w:rPr>
        <w:t>Maya Forest</w:t>
      </w:r>
      <w:r w:rsidRPr="00531BCA">
        <w:rPr>
          <w:rFonts w:ascii="Times New Roman" w:hAnsi="Times New Roman" w:cs="Times New Roman"/>
        </w:rPr>
        <w:t>. Yet</w:t>
      </w:r>
      <w:r>
        <w:rPr>
          <w:rFonts w:ascii="Times New Roman" w:hAnsi="Times New Roman" w:cs="Times New Roman"/>
        </w:rPr>
        <w:t>,</w:t>
      </w:r>
      <w:r w:rsidRPr="00531BCA">
        <w:rPr>
          <w:rFonts w:ascii="Times New Roman" w:hAnsi="Times New Roman" w:cs="Times New Roman"/>
        </w:rPr>
        <w:t xml:space="preserve"> these </w:t>
      </w:r>
      <w:r>
        <w:rPr>
          <w:rFonts w:ascii="Times New Roman" w:hAnsi="Times New Roman" w:cs="Times New Roman"/>
        </w:rPr>
        <w:t>efforts</w:t>
      </w:r>
      <w:r w:rsidRPr="00531BCA">
        <w:rPr>
          <w:rFonts w:ascii="Times New Roman" w:hAnsi="Times New Roman" w:cs="Times New Roman"/>
        </w:rPr>
        <w:t xml:space="preserve"> had different impacts on conservation behavior </w:t>
      </w:r>
      <w:r>
        <w:rPr>
          <w:rFonts w:ascii="Times New Roman" w:hAnsi="Times New Roman" w:cs="Times New Roman"/>
        </w:rPr>
        <w:t xml:space="preserve">in each country </w:t>
      </w:r>
      <w:r w:rsidRPr="00531BCA">
        <w:rPr>
          <w:rFonts w:ascii="Times New Roman" w:hAnsi="Times New Roman" w:cs="Times New Roman"/>
        </w:rPr>
        <w:t xml:space="preserve">because of the differences in land tenure described above. Differences in land tenure, and differences in the pattern of habitation that were the result of differences in land tenure, mean that opportunities for local people to be involved in land use decision-making differ greatly between the two reserves, and these opportunities in turn influence individual and collective conservation behaviors. </w:t>
      </w:r>
    </w:p>
    <w:p w:rsidR="00B00893" w:rsidRPr="00531BCA" w:rsidRDefault="00B00893" w:rsidP="004D6298">
      <w:pPr>
        <w:spacing w:after="120"/>
        <w:ind w:firstLine="720"/>
        <w:jc w:val="both"/>
        <w:rPr>
          <w:rFonts w:ascii="Times New Roman" w:hAnsi="Times New Roman" w:cs="Times New Roman"/>
        </w:rPr>
      </w:pPr>
      <w:r w:rsidRPr="00531BCA">
        <w:rPr>
          <w:rFonts w:ascii="Times New Roman" w:hAnsi="Times New Roman" w:cs="Times New Roman"/>
        </w:rPr>
        <w:t xml:space="preserve">From the 1960s, when settlement began, until the 1980s, the objective of the Mexican and Guatemalan governments was the development of agricultural societies. Land cover change in Southern Campeche and Northern Petén captured the attention of multiple national and international conservation and donor organizations in the 1980s, which led to new stage in the economic and institutional history of the Selva Maya </w:t>
      </w:r>
      <w:r>
        <w:rPr>
          <w:rFonts w:ascii="Times New Roman" w:hAnsi="Times New Roman" w:cs="Times New Roman"/>
          <w:noProof/>
        </w:rPr>
        <w:t>(Berger, 1997; Galleti, 1997; Klepeis and Turner, 2001; Sundberg, 1998)</w:t>
      </w:r>
      <w:r w:rsidRPr="00531BCA">
        <w:rPr>
          <w:rFonts w:ascii="Times New Roman" w:hAnsi="Times New Roman" w:cs="Times New Roman"/>
        </w:rPr>
        <w:t>. The hallmark of these</w:t>
      </w:r>
      <w:r w:rsidRPr="00867F60">
        <w:rPr>
          <w:rFonts w:ascii="Times New Roman" w:hAnsi="Times New Roman" w:cs="Times New Roman"/>
        </w:rPr>
        <w:t xml:space="preserve"> efforts was</w:t>
      </w:r>
      <w:r w:rsidRPr="00576499">
        <w:rPr>
          <w:rFonts w:ascii="Times New Roman" w:hAnsi="Times New Roman" w:cs="Times New Roman"/>
        </w:rPr>
        <w:t xml:space="preserve"> the esta</w:t>
      </w:r>
      <w:r w:rsidRPr="001A0DA8">
        <w:rPr>
          <w:rFonts w:ascii="Times New Roman" w:hAnsi="Times New Roman" w:cs="Times New Roman"/>
        </w:rPr>
        <w:t xml:space="preserve">blishment of the Calakmul and Maya </w:t>
      </w:r>
      <w:r w:rsidRPr="00531BCA">
        <w:rPr>
          <w:rFonts w:ascii="Times New Roman" w:hAnsi="Times New Roman" w:cs="Times New Roman"/>
        </w:rPr>
        <w:t xml:space="preserve">protected areas following UNESCO’s man and biosphere guidelines. </w:t>
      </w:r>
    </w:p>
    <w:p w:rsidR="00B00893" w:rsidRPr="00531BCA" w:rsidRDefault="00B00893" w:rsidP="00386ECF">
      <w:pPr>
        <w:spacing w:after="120"/>
        <w:ind w:firstLine="720"/>
        <w:jc w:val="both"/>
        <w:rPr>
          <w:rFonts w:ascii="Times New Roman" w:hAnsi="Times New Roman" w:cs="Times New Roman"/>
        </w:rPr>
      </w:pPr>
    </w:p>
    <w:p w:rsidR="00B00893" w:rsidRPr="00531BCA" w:rsidRDefault="00B00893" w:rsidP="00E4509B">
      <w:pPr>
        <w:spacing w:after="120"/>
        <w:jc w:val="both"/>
        <w:outlineLvl w:val="0"/>
        <w:rPr>
          <w:rFonts w:ascii="Times New Roman" w:hAnsi="Times New Roman" w:cs="Times New Roman"/>
        </w:rPr>
      </w:pPr>
      <w:r w:rsidRPr="00531BCA">
        <w:rPr>
          <w:rFonts w:ascii="Times New Roman" w:hAnsi="Times New Roman" w:cs="Times New Roman"/>
          <w:i/>
        </w:rPr>
        <w:t>4.3.1 Differing dynamics of participation</w:t>
      </w:r>
    </w:p>
    <w:p w:rsidR="00B00893" w:rsidRPr="00531BCA" w:rsidRDefault="00B00893" w:rsidP="00AB0720">
      <w:pPr>
        <w:spacing w:after="120"/>
        <w:ind w:firstLine="720"/>
        <w:jc w:val="both"/>
        <w:rPr>
          <w:rFonts w:ascii="Times New Roman" w:hAnsi="Times New Roman" w:cs="Times New Roman"/>
        </w:rPr>
      </w:pPr>
      <w:r w:rsidRPr="00531BCA">
        <w:rPr>
          <w:rFonts w:ascii="Times New Roman" w:hAnsi="Times New Roman" w:cs="Times New Roman"/>
        </w:rPr>
        <w:t xml:space="preserve">Although both Biosphere Reserves are managed in a top-down fashion, both reserves also work through bottom-up political processes to achieve conservation goals. However the nature and effects of these bottom-up processes differ greatly between the two reserves. These differences are largely the result of pre-conservation era institutional differences between the two countries, described above. We argue that differences in the ways that people participate in these bottom-up processes explain much of the difference in individual behavior we observe. In particular, Calakmul, through the ejido institutional structure and the existence of multiple councils, provides individuals and communities greater opportunities to participate in making decisions about local land use than Maya.  Consistent with evidence from other parts of the world </w:t>
      </w:r>
      <w:r>
        <w:rPr>
          <w:rFonts w:ascii="Times New Roman" w:hAnsi="Times New Roman" w:cs="Times New Roman"/>
          <w:noProof/>
        </w:rPr>
        <w:t>(Persha et al., 2011; Wright et al., 2016)</w:t>
      </w:r>
      <w:r w:rsidRPr="00531BCA">
        <w:rPr>
          <w:rFonts w:ascii="Times New Roman" w:hAnsi="Times New Roman" w:cs="Times New Roman"/>
        </w:rPr>
        <w:t xml:space="preserve">, households in Calakmul </w:t>
      </w:r>
      <w:r w:rsidRPr="00867F60">
        <w:rPr>
          <w:rFonts w:ascii="Times New Roman" w:hAnsi="Times New Roman" w:cs="Times New Roman"/>
        </w:rPr>
        <w:t xml:space="preserve">who are able to actively participate in decision-making processes are likely to deforest less </w:t>
      </w:r>
      <w:r w:rsidRPr="00531BCA">
        <w:rPr>
          <w:rFonts w:ascii="Times New Roman" w:hAnsi="Times New Roman" w:cs="Times New Roman"/>
          <w:noProof/>
        </w:rPr>
        <w:t>(Rodriguez Solórzano, 2014)</w:t>
      </w:r>
      <w:r w:rsidRPr="00531BCA">
        <w:rPr>
          <w:rFonts w:ascii="Times New Roman" w:hAnsi="Times New Roman" w:cs="Times New Roman"/>
        </w:rPr>
        <w:t>.</w:t>
      </w:r>
    </w:p>
    <w:p w:rsidR="00B00893" w:rsidRPr="00531BCA" w:rsidRDefault="00B00893">
      <w:pPr>
        <w:spacing w:after="120"/>
        <w:ind w:firstLine="720"/>
        <w:jc w:val="both"/>
        <w:rPr>
          <w:rFonts w:ascii="Times New Roman" w:hAnsi="Times New Roman" w:cs="Times New Roman"/>
        </w:rPr>
      </w:pPr>
      <w:r w:rsidRPr="00531BCA">
        <w:rPr>
          <w:rFonts w:ascii="Times New Roman" w:hAnsi="Times New Roman" w:cs="Times New Roman"/>
        </w:rPr>
        <w:t xml:space="preserve"> Formal participatory governance structures in the Maya Biosphere Reserve emerged as a result of international pressure, and while they hav</w:t>
      </w:r>
      <w:r>
        <w:rPr>
          <w:rFonts w:ascii="Times New Roman" w:hAnsi="Times New Roman" w:cs="Times New Roman"/>
        </w:rPr>
        <w:t>e</w:t>
      </w:r>
      <w:r w:rsidRPr="00531BCA">
        <w:rPr>
          <w:rFonts w:ascii="Times New Roman" w:hAnsi="Times New Roman" w:cs="Times New Roman"/>
        </w:rPr>
        <w:t xml:space="preserve"> seen some success, involve only a small portion of the reserve’s residents. The concept of the UNESCO biosphere reserve emphasized community participation as a key method to achieve natural resource sustainability </w:t>
      </w:r>
      <w:r>
        <w:rPr>
          <w:rFonts w:ascii="Times New Roman" w:hAnsi="Times New Roman" w:cs="Times New Roman"/>
          <w:noProof/>
        </w:rPr>
        <w:t>(Bridgewater, 2016; Stoll-Kleemann et al., 2010)</w:t>
      </w:r>
      <w:r w:rsidRPr="00531BCA">
        <w:rPr>
          <w:rFonts w:ascii="Times New Roman" w:hAnsi="Times New Roman" w:cs="Times New Roman"/>
        </w:rPr>
        <w:t xml:space="preserve">, and this created an expectation of community involvement that was realized when USAID provided funding for the creation of community-based concessions in </w:t>
      </w:r>
      <w:r w:rsidRPr="00531BCA">
        <w:rPr>
          <w:rFonts w:ascii="Times New Roman" w:hAnsi="Times New Roman" w:cs="Times New Roman"/>
        </w:rPr>
        <w:lastRenderedPageBreak/>
        <w:t>the multiple-use zone</w:t>
      </w:r>
      <w:r w:rsidRPr="00867F60">
        <w:rPr>
          <w:rFonts w:ascii="Times New Roman" w:hAnsi="Times New Roman" w:cs="Times New Roman"/>
        </w:rPr>
        <w:t xml:space="preserve"> </w:t>
      </w:r>
      <w:r w:rsidRPr="00531BCA">
        <w:rPr>
          <w:rFonts w:ascii="Times New Roman" w:hAnsi="Times New Roman" w:cs="Times New Roman"/>
        </w:rPr>
        <w:t xml:space="preserve">(Nittler and </w:t>
      </w:r>
      <w:r w:rsidRPr="00867F60">
        <w:rPr>
          <w:rFonts w:ascii="Times New Roman" w:hAnsi="Times New Roman" w:cs="Times New Roman"/>
        </w:rPr>
        <w:t>Tschinkelm, 2005)</w:t>
      </w:r>
      <w:r w:rsidRPr="00531BCA">
        <w:rPr>
          <w:rFonts w:ascii="Times New Roman" w:hAnsi="Times New Roman" w:cs="Times New Roman"/>
        </w:rPr>
        <w:t xml:space="preserve">. Concession members have access, extraction, and management rights over several forest products. </w:t>
      </w:r>
      <w:r>
        <w:rPr>
          <w:rFonts w:ascii="Times New Roman" w:hAnsi="Times New Roman" w:cs="Times New Roman"/>
        </w:rPr>
        <w:t>E</w:t>
      </w:r>
      <w:r w:rsidRPr="00531BCA">
        <w:rPr>
          <w:rFonts w:ascii="Times New Roman" w:hAnsi="Times New Roman" w:cs="Times New Roman"/>
        </w:rPr>
        <w:t xml:space="preserve">xtraction is based on management plans prepared using technical criteria for sustainable forest management. Concession members decide how to use and/or distribute the revenues derived from the commercialization of forest products. Concession members also decide the organization of the concessions. Concessions have had mixed results: some concessions </w:t>
      </w:r>
      <w:r>
        <w:rPr>
          <w:rFonts w:ascii="Times New Roman" w:hAnsi="Times New Roman" w:cs="Times New Roman"/>
        </w:rPr>
        <w:t>were</w:t>
      </w:r>
      <w:r w:rsidRPr="00531BCA">
        <w:rPr>
          <w:rFonts w:ascii="Times New Roman" w:hAnsi="Times New Roman" w:cs="Times New Roman"/>
        </w:rPr>
        <w:t xml:space="preserve"> canceled after large forest losses. Yet, some concessions have successfully balanced the conservation of forests with the production of sustainable livelihoods (Radachowsky et al., 2012). </w:t>
      </w:r>
      <w:r>
        <w:rPr>
          <w:rFonts w:ascii="Times New Roman" w:hAnsi="Times New Roman" w:cs="Times New Roman"/>
        </w:rPr>
        <w:t>The community-based concession</w:t>
      </w:r>
      <w:r w:rsidRPr="001A0DA8">
        <w:rPr>
          <w:rFonts w:ascii="Times New Roman" w:hAnsi="Times New Roman" w:cs="Times New Roman"/>
        </w:rPr>
        <w:t xml:space="preserve"> model has bee</w:t>
      </w:r>
      <w:r>
        <w:rPr>
          <w:rFonts w:ascii="Times New Roman" w:hAnsi="Times New Roman" w:cs="Times New Roman"/>
        </w:rPr>
        <w:t>n recognized &amp; honored globally as a model for sustainable development</w:t>
      </w:r>
      <w:r w:rsidRPr="00531BCA">
        <w:rPr>
          <w:rFonts w:ascii="Times New Roman" w:hAnsi="Times New Roman" w:cs="Times New Roman"/>
        </w:rPr>
        <w:t>.</w:t>
      </w:r>
      <w:r w:rsidRPr="00867F60">
        <w:rPr>
          <w:rFonts w:ascii="Times New Roman" w:hAnsi="Times New Roman" w:cs="Times New Roman"/>
        </w:rPr>
        <w:t xml:space="preserve"> </w:t>
      </w:r>
      <w:r>
        <w:rPr>
          <w:rFonts w:ascii="Times New Roman" w:hAnsi="Times New Roman" w:cs="Times New Roman"/>
        </w:rPr>
        <w:t xml:space="preserve">However, </w:t>
      </w:r>
      <w:r w:rsidRPr="00531BCA">
        <w:rPr>
          <w:rFonts w:ascii="Times New Roman" w:hAnsi="Times New Roman" w:cs="Times New Roman"/>
        </w:rPr>
        <w:t>most households living in the reserve are not part of</w:t>
      </w:r>
      <w:r>
        <w:rPr>
          <w:rFonts w:ascii="Times New Roman" w:hAnsi="Times New Roman" w:cs="Times New Roman"/>
        </w:rPr>
        <w:t>, and receive no benefits from,</w:t>
      </w:r>
      <w:r w:rsidRPr="00531BCA">
        <w:rPr>
          <w:rFonts w:ascii="Times New Roman" w:hAnsi="Times New Roman" w:cs="Times New Roman"/>
        </w:rPr>
        <w:t xml:space="preserve"> the concessions. Most households in the Maya Biosphere Reserve multiple use and buffer zones have limited opportunities to participate in natural resource decision making</w:t>
      </w:r>
      <w:r>
        <w:rPr>
          <w:rFonts w:ascii="Times New Roman" w:hAnsi="Times New Roman" w:cs="Times New Roman"/>
        </w:rPr>
        <w:t>, and receive few benefits from the Reserve</w:t>
      </w:r>
      <w:r w:rsidRPr="00531BCA">
        <w:rPr>
          <w:rFonts w:ascii="Times New Roman" w:hAnsi="Times New Roman" w:cs="Times New Roman"/>
        </w:rPr>
        <w:t xml:space="preserve">. The political system in the region remains dominated by a small number of powerful groups, some supported by criminal enterprises that contribute to deforestation </w:t>
      </w:r>
      <w:r w:rsidRPr="00531BCA">
        <w:rPr>
          <w:rFonts w:ascii="Times New Roman" w:hAnsi="Times New Roman" w:cs="Times New Roman"/>
          <w:noProof/>
        </w:rPr>
        <w:t>(insightcrime.org, 2011)</w:t>
      </w:r>
      <w:r w:rsidRPr="00531BCA">
        <w:rPr>
          <w:rFonts w:ascii="Times New Roman" w:hAnsi="Times New Roman" w:cs="Times New Roman"/>
        </w:rPr>
        <w:t xml:space="preserve">. </w:t>
      </w:r>
    </w:p>
    <w:p w:rsidR="00B00893" w:rsidRPr="00531BCA" w:rsidRDefault="00B00893" w:rsidP="00857F7A">
      <w:pPr>
        <w:widowControl w:val="0"/>
        <w:autoSpaceDE w:val="0"/>
        <w:autoSpaceDN w:val="0"/>
        <w:adjustRightInd w:val="0"/>
        <w:spacing w:after="240"/>
        <w:ind w:firstLine="720"/>
        <w:jc w:val="both"/>
        <w:rPr>
          <w:rFonts w:ascii="Times New Roman" w:hAnsi="Times New Roman" w:cs="Times New Roman"/>
        </w:rPr>
      </w:pPr>
      <w:r>
        <w:rPr>
          <w:rFonts w:ascii="Times New Roman" w:hAnsi="Times New Roman" w:cs="Times New Roman"/>
        </w:rPr>
        <w:t>L</w:t>
      </w:r>
      <w:r w:rsidRPr="00531BCA">
        <w:rPr>
          <w:rFonts w:ascii="Times New Roman" w:hAnsi="Times New Roman" w:cs="Times New Roman"/>
        </w:rPr>
        <w:t>imited efforts have been made to include people i</w:t>
      </w:r>
      <w:r>
        <w:rPr>
          <w:rFonts w:ascii="Times New Roman" w:hAnsi="Times New Roman" w:cs="Times New Roman"/>
        </w:rPr>
        <w:t xml:space="preserve">n decision-making in particular </w:t>
      </w:r>
      <w:r w:rsidRPr="00531BCA">
        <w:rPr>
          <w:rFonts w:ascii="Times New Roman" w:hAnsi="Times New Roman" w:cs="Times New Roman"/>
        </w:rPr>
        <w:t xml:space="preserve">national parks. </w:t>
      </w:r>
      <w:r w:rsidRPr="00531BCA">
        <w:rPr>
          <w:rFonts w:ascii="Times New Roman" w:hAnsi="Times New Roman" w:cs="Times New Roman"/>
          <w:lang w:val="es-GT"/>
        </w:rPr>
        <w:t xml:space="preserve">In 2006 the president of Guatemala established the Mesa Multisectorial de la Zona Natural y Cultural Mirador/Río Azul. </w:t>
      </w:r>
      <w:r w:rsidRPr="00531BCA">
        <w:rPr>
          <w:rFonts w:ascii="Times New Roman" w:hAnsi="Times New Roman" w:cs="Times New Roman"/>
        </w:rPr>
        <w:t xml:space="preserve">The objective of this group was to provide a space where actors representing the government, community groups, NGOs, and </w:t>
      </w:r>
      <w:r>
        <w:rPr>
          <w:rFonts w:ascii="Times New Roman" w:hAnsi="Times New Roman" w:cs="Times New Roman"/>
        </w:rPr>
        <w:t xml:space="preserve">the </w:t>
      </w:r>
      <w:r w:rsidRPr="00531BCA">
        <w:rPr>
          <w:rFonts w:ascii="Times New Roman" w:hAnsi="Times New Roman" w:cs="Times New Roman"/>
        </w:rPr>
        <w:t xml:space="preserve">private sector could consolidate strategic alliances that supported a common agenda for the conservation and development of the region </w:t>
      </w:r>
      <w:r w:rsidRPr="00531BCA">
        <w:rPr>
          <w:rFonts w:ascii="Times New Roman" w:hAnsi="Times New Roman" w:cs="Times New Roman"/>
          <w:noProof/>
        </w:rPr>
        <w:t>(Asociación Balam, 2007)</w:t>
      </w:r>
      <w:r w:rsidRPr="00531BCA">
        <w:rPr>
          <w:rFonts w:ascii="Times New Roman" w:hAnsi="Times New Roman" w:cs="Times New Roman"/>
        </w:rPr>
        <w:t>. Another effort was made in</w:t>
      </w:r>
      <w:r w:rsidRPr="00867F60">
        <w:rPr>
          <w:rFonts w:ascii="Times New Roman" w:hAnsi="Times New Roman" w:cs="Times New Roman"/>
        </w:rPr>
        <w:t xml:space="preserve"> Yaxha-Nakum-Naranjo National Park. This park was created in 2003 </w:t>
      </w:r>
      <w:r w:rsidRPr="00531BCA">
        <w:rPr>
          <w:rFonts w:ascii="Times New Roman" w:hAnsi="Times New Roman" w:cs="Times New Roman"/>
          <w:noProof/>
        </w:rPr>
        <w:t>(CONAP, 2006)</w:t>
      </w:r>
      <w:r w:rsidRPr="00531BCA">
        <w:rPr>
          <w:rFonts w:ascii="Times New Roman" w:hAnsi="Times New Roman" w:cs="Times New Roman"/>
        </w:rPr>
        <w:t xml:space="preserve"> with support from the KFW German Bank. The Bank proposed that together with the park the government created an advisory council. The park and council were created together, but the council became active two years later in 2005. Both of these councils have limited powers, and limit the kinds of community members who can be involved in ways that prevent the councils from effectively representing the broader community. </w:t>
      </w:r>
    </w:p>
    <w:p w:rsidR="00B00893" w:rsidRPr="00531BCA" w:rsidRDefault="00B00893">
      <w:pPr>
        <w:spacing w:after="120"/>
        <w:ind w:firstLine="720"/>
        <w:jc w:val="both"/>
        <w:rPr>
          <w:rFonts w:ascii="Times New Roman" w:hAnsi="Times New Roman" w:cs="Times New Roman"/>
        </w:rPr>
      </w:pPr>
      <w:r w:rsidRPr="00531BCA">
        <w:rPr>
          <w:rFonts w:ascii="Times New Roman" w:hAnsi="Times New Roman" w:cs="Times New Roman"/>
        </w:rPr>
        <w:t xml:space="preserve">By contrast, political participation in Calakmul is multidimensional, growing from both top-down and the bottom up, and involving most households within the biosphere reserve. Communities in the buffer zone hold collective title to their land and are empowered to manage the land they own collectively. Only three out of 81 communities have legal permission to harvest timber from their lands, and the technical and organizational capacity of these three communities is far below that of the forest concessions in Petén. However, many of the communities make decisions about collectively managed lands. Even though formal ejido governance structures exclude most women and younger male community members </w:t>
      </w:r>
      <w:r w:rsidRPr="00531BCA">
        <w:rPr>
          <w:rFonts w:ascii="Times New Roman" w:hAnsi="Times New Roman" w:cs="Times New Roman"/>
          <w:noProof/>
        </w:rPr>
        <w:t>(Navarro-Olmedo et al., 2016)</w:t>
      </w:r>
      <w:r w:rsidRPr="00531BCA">
        <w:rPr>
          <w:rFonts w:ascii="Times New Roman" w:hAnsi="Times New Roman" w:cs="Times New Roman"/>
        </w:rPr>
        <w:t>, there are far more people who have opportunities to make local level decisions than in Maya, and participation in ejido level decision-making helps local leaders cultivate political skills which can be utilized more broadly</w:t>
      </w:r>
      <w:r>
        <w:rPr>
          <w:rFonts w:ascii="Times New Roman" w:hAnsi="Times New Roman" w:cs="Times New Roman"/>
        </w:rPr>
        <w:t xml:space="preserve"> </w:t>
      </w:r>
      <w:r>
        <w:rPr>
          <w:rFonts w:ascii="Times New Roman" w:hAnsi="Times New Roman" w:cs="Times New Roman"/>
          <w:noProof/>
        </w:rPr>
        <w:t>(see also Chowdhury, 2010)</w:t>
      </w:r>
      <w:r w:rsidRPr="00531BCA">
        <w:rPr>
          <w:rFonts w:ascii="Times New Roman" w:hAnsi="Times New Roman" w:cs="Times New Roman"/>
        </w:rPr>
        <w:t xml:space="preserve">. </w:t>
      </w:r>
    </w:p>
    <w:p w:rsidR="00B00893" w:rsidRPr="00531BCA" w:rsidRDefault="00B00893" w:rsidP="00857F7A">
      <w:pPr>
        <w:spacing w:after="120"/>
        <w:ind w:firstLine="720"/>
        <w:jc w:val="both"/>
        <w:rPr>
          <w:rFonts w:ascii="Times New Roman" w:hAnsi="Times New Roman" w:cs="Times New Roman"/>
        </w:rPr>
      </w:pPr>
      <w:r w:rsidRPr="00531BCA">
        <w:rPr>
          <w:rFonts w:ascii="Times New Roman" w:hAnsi="Times New Roman" w:cs="Times New Roman"/>
        </w:rPr>
        <w:t>Broader scale participatory opportunities are also available in Calakmul, link</w:t>
      </w:r>
      <w:r>
        <w:rPr>
          <w:rFonts w:ascii="Times New Roman" w:hAnsi="Times New Roman" w:cs="Times New Roman"/>
        </w:rPr>
        <w:t>ing</w:t>
      </w:r>
      <w:r w:rsidRPr="00531BCA">
        <w:rPr>
          <w:rFonts w:ascii="Times New Roman" w:hAnsi="Times New Roman" w:cs="Times New Roman"/>
        </w:rPr>
        <w:t xml:space="preserve"> communities to regional, state, and national government. The first such opportunity was the Agriculture, Forestry, and Pastures Regional Council (CRASX for its Spanish acronym), established in 1991. This Council was created through a federal government initiative that aimed to govern outside of the formal bureaucratic structure, with the goal of building political support for the ruling party in the region. CRASX involved leaders from the communities in the management of national and international resources coming to the region to support natural resources conservation. Although CRASX had overall political goals as part of a broader, top-</w:t>
      </w:r>
      <w:r w:rsidRPr="00531BCA">
        <w:rPr>
          <w:rFonts w:ascii="Times New Roman" w:hAnsi="Times New Roman" w:cs="Times New Roman"/>
        </w:rPr>
        <w:lastRenderedPageBreak/>
        <w:t>down political project, it also introduced conservation ideas among farmers, and trained local leaders to be more effective</w:t>
      </w:r>
      <w:r>
        <w:rPr>
          <w:rFonts w:ascii="Times New Roman" w:hAnsi="Times New Roman" w:cs="Times New Roman"/>
        </w:rPr>
        <w:t xml:space="preserve"> </w:t>
      </w:r>
      <w:r>
        <w:rPr>
          <w:rFonts w:ascii="Times New Roman" w:hAnsi="Times New Roman" w:cs="Times New Roman"/>
          <w:noProof/>
        </w:rPr>
        <w:t>(Haenn, 2005)</w:t>
      </w:r>
      <w:r w:rsidRPr="00531BCA">
        <w:rPr>
          <w:rFonts w:ascii="Times New Roman" w:hAnsi="Times New Roman" w:cs="Times New Roman"/>
        </w:rPr>
        <w:t>. The success of CRASX also left some communities feeling excluded from the process, and their protests resulted in the creation of a second group, organized more organically from within the communities, the Regional Indigenous and Po</w:t>
      </w:r>
      <w:r>
        <w:rPr>
          <w:rFonts w:ascii="Times New Roman" w:hAnsi="Times New Roman" w:cs="Times New Roman"/>
        </w:rPr>
        <w:t>r</w:t>
      </w:r>
      <w:r w:rsidRPr="00531BCA">
        <w:rPr>
          <w:rFonts w:ascii="Times New Roman" w:hAnsi="Times New Roman" w:cs="Times New Roman"/>
        </w:rPr>
        <w:t>pular Council of Xpujil (CRIPX for its Spanish acronym), which shared decision-making authority with CRASX for a time. These councils were important during the 1990s because at that time the region was sufficiently remote that conventional government institutions were largely absent from the region.</w:t>
      </w:r>
    </w:p>
    <w:p w:rsidR="00B00893" w:rsidRPr="00531BCA" w:rsidRDefault="00B00893" w:rsidP="00857F7A">
      <w:pPr>
        <w:spacing w:after="120"/>
        <w:ind w:firstLine="720"/>
        <w:jc w:val="both"/>
        <w:rPr>
          <w:rFonts w:ascii="Times New Roman" w:hAnsi="Times New Roman" w:cs="Times New Roman"/>
        </w:rPr>
      </w:pPr>
      <w:r w:rsidRPr="00531BCA">
        <w:rPr>
          <w:rFonts w:ascii="Times New Roman" w:hAnsi="Times New Roman" w:cs="Times New Roman"/>
        </w:rPr>
        <w:t xml:space="preserve">The Calakmul municipality, overlapping the Reserve boundaries, was created in 1996. </w:t>
      </w:r>
      <w:r>
        <w:rPr>
          <w:rFonts w:ascii="Times New Roman" w:hAnsi="Times New Roman" w:cs="Times New Roman"/>
        </w:rPr>
        <w:t>W</w:t>
      </w:r>
      <w:r w:rsidRPr="00531BCA">
        <w:rPr>
          <w:rFonts w:ascii="Times New Roman" w:hAnsi="Times New Roman" w:cs="Times New Roman"/>
        </w:rPr>
        <w:t>hile formally democratic</w:t>
      </w:r>
      <w:r>
        <w:rPr>
          <w:rFonts w:ascii="Times New Roman" w:hAnsi="Times New Roman" w:cs="Times New Roman"/>
        </w:rPr>
        <w:t>, the municipality</w:t>
      </w:r>
      <w:r w:rsidRPr="00531BCA">
        <w:rPr>
          <w:rFonts w:ascii="Times New Roman" w:hAnsi="Times New Roman" w:cs="Times New Roman"/>
        </w:rPr>
        <w:t xml:space="preserve">, was </w:t>
      </w:r>
      <w:r>
        <w:rPr>
          <w:rFonts w:ascii="Times New Roman" w:hAnsi="Times New Roman" w:cs="Times New Roman"/>
        </w:rPr>
        <w:t xml:space="preserve">more centralized and </w:t>
      </w:r>
      <w:r w:rsidRPr="00531BCA">
        <w:rPr>
          <w:rFonts w:ascii="Times New Roman" w:hAnsi="Times New Roman" w:cs="Times New Roman"/>
        </w:rPr>
        <w:t>less open to citizen participation than earlier councils. The participatory legacy of CRASX and CRIPX persists in local politics: the people who participated in those councils learned the benefits of participation and enhanced their capabilities for finding spaces for participation. For example, in 2006 the Calakmul Biosphere Reserve and the German cooperation agency (GIZ) supported the operation of the Municipal Council for Sustainable Rural Development (CMDRS for its Spanish acronym), with the objective of increasing local participation in municipal finance and land use decisions to strengthen the link between environment and development in Calakmul. Early leaders in this council were those who had been involved in CRASX and CRIPX, although the CMDRS was also successful at incorporating new voices. Like its predecessors, CMDRS provided a forum wherein community leaders could get access to information about economic and political opportunities. Because of Calakmul’s status as a biosphere reserve, many of these opportunities relate to conservation, and thus, participation in these councils provides a means by which community leaders learn about conservation. For example, the councils have provided information about alternative livelihoods such as bee keeping, which not only enable farmers to cultivate smaller fields, but also provide an incentive for forest conservation, as the highest quality honey in the region comes from bees that forage in the forest.</w:t>
      </w:r>
    </w:p>
    <w:p w:rsidR="00B00893" w:rsidRPr="00A9662E" w:rsidRDefault="00B00893" w:rsidP="00804D4B">
      <w:pPr>
        <w:spacing w:after="120"/>
        <w:outlineLvl w:val="0"/>
        <w:rPr>
          <w:rFonts w:ascii="Times New Roman" w:hAnsi="Times New Roman" w:cs="Times New Roman"/>
          <w:b/>
        </w:rPr>
      </w:pPr>
      <w:r w:rsidRPr="00A9662E">
        <w:rPr>
          <w:rFonts w:ascii="Times New Roman" w:hAnsi="Times New Roman" w:cs="Times New Roman"/>
          <w:b/>
        </w:rPr>
        <w:t>5. CONCLUSIONS</w:t>
      </w:r>
    </w:p>
    <w:p w:rsidR="00B00893" w:rsidRPr="00531BCA" w:rsidRDefault="00B00893" w:rsidP="00804D4B">
      <w:pPr>
        <w:spacing w:after="120"/>
        <w:ind w:firstLine="720"/>
        <w:jc w:val="both"/>
        <w:rPr>
          <w:rFonts w:ascii="Times New Roman" w:hAnsi="Times New Roman" w:cs="Times New Roman"/>
        </w:rPr>
      </w:pPr>
      <w:r w:rsidRPr="00531BCA">
        <w:rPr>
          <w:rFonts w:ascii="Times New Roman" w:hAnsi="Times New Roman" w:cs="Times New Roman"/>
        </w:rPr>
        <w:t xml:space="preserve">The ability of people to conserve forests is constrained both by their property rights and their ability to participate in the processes which provides new economic and political opportunities. Residents of the Maya Biosphere Reserve began the conservation era with more unequal and less secure property rights, as well as poorer quality community governance arrangements, contributing to poorer individual level conservation outcomes than in Calakmul. However, these differences have been exacerbated over time as Calakmul has provided most farmers greater opportunity to enhance their human and political capital and build livelihoods less dependent on frontier forest clearance, while in Maya, these opportunities have been confined to the small numbers of individuals involved in the successful forest concessions. This difference is in part the result of the relatively higher levels of political and economic inequality built into the land distribution process in Petén, but it also the result of the greater political space afforded by the modern Mexican state in Calakmul, relative to similar opportunities available in the Maya Biosphere Reserve. Land owners with greater economic and political opportunities </w:t>
      </w:r>
      <w:r>
        <w:rPr>
          <w:rFonts w:ascii="Times New Roman" w:hAnsi="Times New Roman" w:cs="Times New Roman"/>
        </w:rPr>
        <w:t>in Calakmul</w:t>
      </w:r>
      <w:r w:rsidRPr="00531BCA">
        <w:rPr>
          <w:rFonts w:ascii="Times New Roman" w:hAnsi="Times New Roman" w:cs="Times New Roman"/>
        </w:rPr>
        <w:t xml:space="preserve"> are more likely to engage in conservation because the most profitable opportunities (such as honey production) involve moving away from forest clearing </w:t>
      </w:r>
      <w:r w:rsidRPr="00531BCA">
        <w:rPr>
          <w:rFonts w:ascii="Times New Roman" w:hAnsi="Times New Roman" w:cs="Times New Roman"/>
          <w:noProof/>
        </w:rPr>
        <w:t>(Rodriguez Solórzano, 2014)</w:t>
      </w:r>
      <w:r w:rsidRPr="00531BCA">
        <w:rPr>
          <w:rFonts w:ascii="Times New Roman" w:hAnsi="Times New Roman" w:cs="Times New Roman"/>
        </w:rPr>
        <w:t xml:space="preserve">. Honey production in Calakmul has greatly expanded in recent years, providing a wide variety of people a way to profit from forest conservation. While the most successful community-based forest management in the region is the forest concessions in Maya Biosphere Reserve, benefits from </w:t>
      </w:r>
      <w:r w:rsidRPr="00531BCA">
        <w:rPr>
          <w:rFonts w:ascii="Times New Roman" w:hAnsi="Times New Roman" w:cs="Times New Roman"/>
        </w:rPr>
        <w:lastRenderedPageBreak/>
        <w:t>these concessions are limited to a very small subset of the inhabitants of the reserve. Thus, while some concessions are very successful, most reserve inhabitants do not benefit, and there is less incentive for reserve inhabitants to pursue conservation on their own land or in their community.</w:t>
      </w:r>
    </w:p>
    <w:p w:rsidR="00B00893" w:rsidRPr="00A9662E" w:rsidRDefault="00B00893" w:rsidP="00475F98">
      <w:pPr>
        <w:spacing w:after="120"/>
        <w:ind w:firstLine="720"/>
        <w:jc w:val="both"/>
        <w:rPr>
          <w:rFonts w:ascii="Times New Roman" w:hAnsi="Times New Roman" w:cs="Times New Roman"/>
          <w:b/>
        </w:rPr>
      </w:pPr>
      <w:r w:rsidRPr="00531BCA">
        <w:rPr>
          <w:rFonts w:ascii="Times New Roman" w:hAnsi="Times New Roman" w:cs="Times New Roman"/>
        </w:rPr>
        <w:t>The constraints we describe in this paper are not primarily the result of contemporary public policy. They are the results of decades of institutional development that has left strong path dependencies. Higher rates of conservation in Mexico can be traced back to roots in the Mexican revolution, as well as policies adopted over the succeeding century. Scientists who study why some conservation projects are more effective than others need to pay attention to these long-term institutional legacies, or else they are likely to produce biased results. Similarly, practitioners seeking to create new or improve existing protected areas should pay attention to the role institutional legacies play in shaping incentives for conservation. We have shown that secure property rights for communities and individuals, combined with institutions that encourage collective action and public engagement can, over long time frames, contribute to increased incentives for conservation on privately managed land. In places without these attributes, increasing conservation on privately managed land may be significantly more costly, and developing secure property rights and community-based collective action may require long-term institutional reforms.</w:t>
      </w:r>
      <w:r w:rsidRPr="00A9662E">
        <w:rPr>
          <w:rFonts w:ascii="Times New Roman" w:hAnsi="Times New Roman" w:cs="Times New Roman"/>
          <w:b/>
        </w:rPr>
        <w:br w:type="page"/>
      </w:r>
    </w:p>
    <w:p w:rsidR="00B00893" w:rsidRPr="00A9662E" w:rsidRDefault="00B00893" w:rsidP="00A7417B">
      <w:pPr>
        <w:spacing w:after="120"/>
        <w:outlineLvl w:val="0"/>
        <w:rPr>
          <w:rFonts w:ascii="Times New Roman" w:hAnsi="Times New Roman" w:cs="Times New Roman"/>
          <w:b/>
        </w:rPr>
      </w:pPr>
      <w:r w:rsidRPr="00A9662E">
        <w:rPr>
          <w:rFonts w:ascii="Times New Roman" w:hAnsi="Times New Roman" w:cs="Times New Roman"/>
          <w:b/>
        </w:rPr>
        <w:lastRenderedPageBreak/>
        <w:t>REFERENCES</w:t>
      </w:r>
    </w:p>
    <w:p w:rsidR="00B00893" w:rsidRPr="00E318C5" w:rsidRDefault="00B00893" w:rsidP="00E318C5">
      <w:pPr>
        <w:pStyle w:val="EndNoteBibliography"/>
        <w:rPr>
          <w:noProof/>
        </w:rPr>
      </w:pPr>
      <w:r w:rsidRPr="00E318C5">
        <w:rPr>
          <w:noProof/>
        </w:rPr>
        <w:t>Alonso-Fradejas, A. (2015) Anything but a story foretold: multiple politics of resistance to the agrarian extractivist project in Guatemala. The Journal of Peasant Studies 42, 489-515.</w:t>
      </w:r>
    </w:p>
    <w:p w:rsidR="00B00893" w:rsidRPr="00E318C5" w:rsidRDefault="00B00893" w:rsidP="00E318C5">
      <w:pPr>
        <w:pStyle w:val="EndNoteBibliography"/>
        <w:rPr>
          <w:noProof/>
        </w:rPr>
      </w:pPr>
      <w:r w:rsidRPr="00E318C5">
        <w:rPr>
          <w:noProof/>
        </w:rPr>
        <w:t>Andam, K.S., Ferraro, P.J., Hanauer, M.M. (2013) The effects of protected area systems on ecosystem restoration: a quasi-experimental design to estimate the impact of Costa Rica's protected area system on forest regrowth. Conservation Letters 6, 317-323.</w:t>
      </w:r>
    </w:p>
    <w:p w:rsidR="00B00893" w:rsidRPr="00E318C5" w:rsidRDefault="00B00893" w:rsidP="00E318C5">
      <w:pPr>
        <w:pStyle w:val="EndNoteBibliography"/>
        <w:rPr>
          <w:noProof/>
        </w:rPr>
      </w:pPr>
      <w:r w:rsidRPr="00E318C5">
        <w:rPr>
          <w:noProof/>
        </w:rPr>
        <w:t>Andam, K.S., Ferraro, P.J., Pfaff, A., Sanchez-Azofeifa, G.A., Robalino, J.A. (2008) Measuring the effectiveness of protected area networks in reducing deforestation. Proceedings of the National Academy of Sciences 105, 16089-16094.</w:t>
      </w:r>
    </w:p>
    <w:p w:rsidR="00B00893" w:rsidRPr="00E318C5" w:rsidRDefault="00B00893" w:rsidP="00E318C5">
      <w:pPr>
        <w:pStyle w:val="EndNoteBibliography"/>
        <w:rPr>
          <w:noProof/>
        </w:rPr>
      </w:pPr>
      <w:r w:rsidRPr="00E318C5">
        <w:rPr>
          <w:noProof/>
        </w:rPr>
        <w:t>Andam, K.S., Ferraro, P.J., Sims, K.R., Healy, A., Holland, M.B. (2010) Protected areas reduced poverty in Costa Rica and Thailand. Proc Natl Acad Sci USA 107.</w:t>
      </w:r>
    </w:p>
    <w:p w:rsidR="00B00893" w:rsidRPr="00E318C5" w:rsidRDefault="00B00893" w:rsidP="00E318C5">
      <w:pPr>
        <w:pStyle w:val="EndNoteBibliography"/>
        <w:rPr>
          <w:noProof/>
        </w:rPr>
      </w:pPr>
      <w:r w:rsidRPr="00E318C5">
        <w:rPr>
          <w:noProof/>
        </w:rPr>
        <w:t>Arthur, W.B. (1994) Increasing returns and path dependence in the economy.</w:t>
      </w:r>
    </w:p>
    <w:p w:rsidR="00B00893" w:rsidRPr="00E318C5" w:rsidRDefault="00B00893" w:rsidP="00E318C5">
      <w:pPr>
        <w:pStyle w:val="EndNoteBibliography"/>
        <w:rPr>
          <w:noProof/>
        </w:rPr>
      </w:pPr>
      <w:r w:rsidRPr="00E318C5">
        <w:rPr>
          <w:noProof/>
        </w:rPr>
        <w:t>Asociación Balam, (2007) Resultados del proyecto: Mesa Multisectorial para el Parque Nacional Mirador-Rio Azul, Biotopo Dos Lagunas y Zona de Usos Multiples de la Reserva de la Biosfera Maya, Petén, Giuatemala.</w:t>
      </w:r>
    </w:p>
    <w:p w:rsidR="00B00893" w:rsidRPr="00E318C5" w:rsidRDefault="00B00893" w:rsidP="00E318C5">
      <w:pPr>
        <w:pStyle w:val="EndNoteBibliography"/>
        <w:rPr>
          <w:noProof/>
        </w:rPr>
      </w:pPr>
      <w:r w:rsidRPr="00E318C5">
        <w:rPr>
          <w:noProof/>
        </w:rPr>
        <w:t>Ban, N.C., Davies, T.E., Aguilera, S.E., Brooks, C., Cox, M., Epstein, G., Evans, L.S., Maxwell, S.M., Nenadovic, M. (2017) Social and ecological effectiveness of large marine protected areas. Global Environmental Change 43, 82-91.</w:t>
      </w:r>
    </w:p>
    <w:p w:rsidR="00B00893" w:rsidRPr="00E318C5" w:rsidRDefault="00B00893" w:rsidP="00E318C5">
      <w:pPr>
        <w:pStyle w:val="EndNoteBibliography"/>
        <w:rPr>
          <w:noProof/>
        </w:rPr>
      </w:pPr>
      <w:r w:rsidRPr="00E318C5">
        <w:rPr>
          <w:noProof/>
        </w:rPr>
        <w:t>Ban, N.C., Mills, M., Tam, J., Hicks, C.C., Klain, S., Stoeckl, N., Bottrill, M.C., Levine, J., Pressey, R.L., Satterfield, T., Chan, K.M.A. (2013) A social–ecological approach to conservation planning: embedding social considerations. Frontiers in Ecology and the Environment 11, 194-202.</w:t>
      </w:r>
    </w:p>
    <w:p w:rsidR="00B00893" w:rsidRPr="00E318C5" w:rsidRDefault="00B00893" w:rsidP="00E318C5">
      <w:pPr>
        <w:pStyle w:val="EndNoteBibliography"/>
        <w:rPr>
          <w:noProof/>
        </w:rPr>
      </w:pPr>
      <w:r w:rsidRPr="00E318C5">
        <w:rPr>
          <w:noProof/>
        </w:rPr>
        <w:t>Beach, D., Pedersen, R.B. (2016) Causal case study methods : foundations and guidelines for comparing, matching and tracing.</w:t>
      </w:r>
    </w:p>
    <w:p w:rsidR="00B00893" w:rsidRPr="00E318C5" w:rsidRDefault="00B00893" w:rsidP="00E318C5">
      <w:pPr>
        <w:pStyle w:val="EndNoteBibliography"/>
        <w:rPr>
          <w:noProof/>
        </w:rPr>
      </w:pPr>
      <w:r w:rsidRPr="00E318C5">
        <w:rPr>
          <w:noProof/>
        </w:rPr>
        <w:t>Berger, S. (1997) Environmentalism in Guatemala: When fish have ears. Latin American Research Review 32, 99--115.</w:t>
      </w:r>
    </w:p>
    <w:p w:rsidR="00B00893" w:rsidRPr="00E318C5" w:rsidRDefault="00B00893" w:rsidP="00E318C5">
      <w:pPr>
        <w:pStyle w:val="EndNoteBibliography"/>
        <w:rPr>
          <w:noProof/>
        </w:rPr>
      </w:pPr>
      <w:r w:rsidRPr="00E318C5">
        <w:rPr>
          <w:noProof/>
        </w:rPr>
        <w:t>Bhola, N., Juffe-Bignoli, D., Burgess, N., Sandwith, T., Kingston, N., (2016) Protected Planet Report 2016. UNEP-WCMC and IUCN, Cambridge, UK and Gland, Switzerland.</w:t>
      </w:r>
    </w:p>
    <w:p w:rsidR="00B00893" w:rsidRPr="00E318C5" w:rsidRDefault="00B00893" w:rsidP="00E318C5">
      <w:pPr>
        <w:pStyle w:val="EndNoteBibliography"/>
        <w:rPr>
          <w:noProof/>
        </w:rPr>
      </w:pPr>
      <w:r w:rsidRPr="00E318C5">
        <w:rPr>
          <w:noProof/>
        </w:rPr>
        <w:t>Brandon, K., Redford, K.H., Sanderson, S.E., Nature, C. (1998) Parks in peril : people, politics, and protected areas. Island Press, Washington, D.C.</w:t>
      </w:r>
    </w:p>
    <w:p w:rsidR="00B00893" w:rsidRPr="00E318C5" w:rsidRDefault="00B00893" w:rsidP="00E318C5">
      <w:pPr>
        <w:pStyle w:val="EndNoteBibliography"/>
        <w:rPr>
          <w:noProof/>
        </w:rPr>
      </w:pPr>
      <w:r w:rsidRPr="00E318C5">
        <w:rPr>
          <w:noProof/>
        </w:rPr>
        <w:t>Bray, D.B., Duran, E., Ramos, V.H., Mas, J.F., Velazques, A., McNab, R.B., Barry, D., Radachowsky, J. (2008) Tropical Deforestation, Community Forests, and Protected Areas in the Maya Forest. Ecology and Society 13.</w:t>
      </w:r>
    </w:p>
    <w:p w:rsidR="00B00893" w:rsidRPr="00E318C5" w:rsidRDefault="00256C69" w:rsidP="00E318C5">
      <w:pPr>
        <w:pStyle w:val="EndNoteBibliography"/>
        <w:rPr>
          <w:noProof/>
        </w:rPr>
      </w:pPr>
      <w:r>
        <w:rPr>
          <w:noProof/>
        </w:rPr>
        <w:t>Bray, D.B., Klepeis, P. (2005</w:t>
      </w:r>
      <w:r w:rsidR="00B00893" w:rsidRPr="00E318C5">
        <w:rPr>
          <w:noProof/>
        </w:rPr>
        <w:t>) Deforestation, Forest Transitions, and Institutions for Sustainability in Southeastern Mexico, 1900–2000. Environment and History 11, 195-223.</w:t>
      </w:r>
    </w:p>
    <w:p w:rsidR="00B00893" w:rsidRPr="00E318C5" w:rsidRDefault="00B00893" w:rsidP="00E318C5">
      <w:pPr>
        <w:pStyle w:val="EndNoteBibliography"/>
        <w:rPr>
          <w:noProof/>
        </w:rPr>
      </w:pPr>
      <w:r w:rsidRPr="00E318C5">
        <w:rPr>
          <w:noProof/>
        </w:rPr>
        <w:t>Bridgewater, P. (2016) The Man and Biosphere programme of UNESCO: rambunctious child of the sixties, but was the promise fulfilled? Current Opinion in Environmental Sustainability 19, 1-6.</w:t>
      </w:r>
    </w:p>
    <w:p w:rsidR="00B00893" w:rsidRPr="00E318C5" w:rsidRDefault="00B00893" w:rsidP="00E318C5">
      <w:pPr>
        <w:pStyle w:val="EndNoteBibliography"/>
        <w:rPr>
          <w:noProof/>
        </w:rPr>
      </w:pPr>
      <w:r w:rsidRPr="00E318C5">
        <w:rPr>
          <w:noProof/>
        </w:rPr>
        <w:t>Bruner, A.G., Gullison, R.E., Rice, R.E., da Fonseca, G.A.B. (2001) Effectiveness of parks in protecting tropical biodiversity. Science 291, 125-128.</w:t>
      </w:r>
    </w:p>
    <w:p w:rsidR="00B00893" w:rsidRPr="00E318C5" w:rsidRDefault="00B00893" w:rsidP="00E318C5">
      <w:pPr>
        <w:pStyle w:val="EndNoteBibliography"/>
        <w:rPr>
          <w:noProof/>
        </w:rPr>
      </w:pPr>
      <w:r w:rsidRPr="00E318C5">
        <w:rPr>
          <w:noProof/>
        </w:rPr>
        <w:t>Busch, C.B., Vance, C. (2011) The Diffusion of Cattle Ranching and Deforestation: Prospects for a Hollow Frontier in Mexico's Yucatan. Land Economics 87, 682-698.</w:t>
      </w:r>
    </w:p>
    <w:p w:rsidR="00B00893" w:rsidRPr="00E318C5" w:rsidRDefault="00B00893" w:rsidP="00E318C5">
      <w:pPr>
        <w:pStyle w:val="EndNoteBibliography"/>
        <w:rPr>
          <w:noProof/>
        </w:rPr>
      </w:pPr>
      <w:r w:rsidRPr="00E318C5">
        <w:rPr>
          <w:noProof/>
        </w:rPr>
        <w:t>Calakmul, H.A., (2009) Plan municipal de desarrollo 2009-2012, Calakmul, Mexico.</w:t>
      </w:r>
    </w:p>
    <w:p w:rsidR="00B00893" w:rsidRPr="00E318C5" w:rsidRDefault="00B00893" w:rsidP="00E318C5">
      <w:pPr>
        <w:pStyle w:val="EndNoteBibliography"/>
        <w:rPr>
          <w:noProof/>
        </w:rPr>
      </w:pPr>
      <w:r w:rsidRPr="00E318C5">
        <w:rPr>
          <w:noProof/>
        </w:rPr>
        <w:t>Calakmul, H.A., (2012) Plan municipal de desarrollo 2012-2015, Calakmul, Mexico.</w:t>
      </w:r>
    </w:p>
    <w:p w:rsidR="00B00893" w:rsidRPr="00E318C5" w:rsidRDefault="00B00893" w:rsidP="00E318C5">
      <w:pPr>
        <w:pStyle w:val="EndNoteBibliography"/>
        <w:rPr>
          <w:noProof/>
        </w:rPr>
      </w:pPr>
      <w:r w:rsidRPr="00E318C5">
        <w:rPr>
          <w:noProof/>
        </w:rPr>
        <w:lastRenderedPageBreak/>
        <w:t>Carpenter, D.P. (2001) The forging of bureaucratic autonomy : reputations, networks, and policy innovation in executive agencies, 1862-1928. Princeton University Press, Princeton, N.J.</w:t>
      </w:r>
    </w:p>
    <w:p w:rsidR="00B00893" w:rsidRPr="00E318C5" w:rsidRDefault="00B00893" w:rsidP="00E318C5">
      <w:pPr>
        <w:pStyle w:val="EndNoteBibliography"/>
        <w:rPr>
          <w:noProof/>
        </w:rPr>
      </w:pPr>
      <w:r w:rsidRPr="00E318C5">
        <w:rPr>
          <w:noProof/>
        </w:rPr>
        <w:t>Castree, N. (2017) Speaking for the ‘people disciplines’: Global change science and its human dimensions. The Anthropocene Review, 2053019617734249.</w:t>
      </w:r>
    </w:p>
    <w:p w:rsidR="00B00893" w:rsidRPr="00E318C5" w:rsidRDefault="00B00893" w:rsidP="00E318C5">
      <w:pPr>
        <w:pStyle w:val="EndNoteBibliography"/>
        <w:rPr>
          <w:noProof/>
        </w:rPr>
      </w:pPr>
      <w:r w:rsidRPr="00E318C5">
        <w:rPr>
          <w:noProof/>
        </w:rPr>
        <w:t>Chhatre, A., Agrawal, A. (2008) Forest commons and local enforcement. Proceedings of the National Academy of Sciences 105, 13286-13291.</w:t>
      </w:r>
    </w:p>
    <w:p w:rsidR="00B00893" w:rsidRPr="00E318C5" w:rsidRDefault="00B00893" w:rsidP="00E318C5">
      <w:pPr>
        <w:pStyle w:val="EndNoteBibliography"/>
        <w:rPr>
          <w:noProof/>
        </w:rPr>
      </w:pPr>
      <w:r w:rsidRPr="00E318C5">
        <w:rPr>
          <w:noProof/>
        </w:rPr>
        <w:t>Chhatre, A., Agrawal, A. (2009) Trade-offs and synergies between carbon storage and livelihood benefits from forest commons. Proceedings of the National Academy of Sciences 106, 17667-17670.</w:t>
      </w:r>
    </w:p>
    <w:p w:rsidR="00B00893" w:rsidRPr="00E318C5" w:rsidRDefault="00B00893" w:rsidP="00E318C5">
      <w:pPr>
        <w:pStyle w:val="EndNoteBibliography"/>
        <w:rPr>
          <w:noProof/>
        </w:rPr>
      </w:pPr>
      <w:r w:rsidRPr="00E318C5">
        <w:rPr>
          <w:noProof/>
        </w:rPr>
        <w:t>Chowdhury, R.R. (2006) Landscape change in the Calakmul Biosphere Reserve, Mexico: Modeling the driving forces of smallholder deforestation in land parcels. Applied Geography 26, 129-152.</w:t>
      </w:r>
    </w:p>
    <w:p w:rsidR="00B00893" w:rsidRPr="00E318C5" w:rsidRDefault="00B00893" w:rsidP="00E318C5">
      <w:pPr>
        <w:pStyle w:val="EndNoteBibliography"/>
        <w:rPr>
          <w:noProof/>
        </w:rPr>
      </w:pPr>
      <w:r w:rsidRPr="00E318C5">
        <w:rPr>
          <w:noProof/>
        </w:rPr>
        <w:t>Chowdhury, R.R. (2007) Household Land Management and Biodiversity: Secondary Succession in a Forest-Agriculture Mosaic in Southern Mexico. Ecology and Society 12.</w:t>
      </w:r>
    </w:p>
    <w:p w:rsidR="00B00893" w:rsidRPr="00E318C5" w:rsidRDefault="00B00893" w:rsidP="00E318C5">
      <w:pPr>
        <w:pStyle w:val="EndNoteBibliography"/>
        <w:rPr>
          <w:noProof/>
        </w:rPr>
      </w:pPr>
      <w:r w:rsidRPr="00E318C5">
        <w:rPr>
          <w:noProof/>
        </w:rPr>
        <w:t>Chowdhury, R.R. (2010) Differentiation and concordance in smallholder land use strategies in southern Mexico's conservation frontier. Proceedings of the National Academy of Sciences of the United States of America 107, 5780-5785.</w:t>
      </w:r>
    </w:p>
    <w:p w:rsidR="00B00893" w:rsidRPr="00E318C5" w:rsidRDefault="00B00893" w:rsidP="00E318C5">
      <w:pPr>
        <w:pStyle w:val="EndNoteBibliography"/>
        <w:rPr>
          <w:noProof/>
        </w:rPr>
      </w:pPr>
      <w:r w:rsidRPr="00E318C5">
        <w:rPr>
          <w:noProof/>
        </w:rPr>
        <w:t>Chowdhury, R.R., Turner, B.L. (2006) Reconciling Agency and Structure in Empirical Analysis: Smallholder Land Use in the Southern Yucatan, Mexico. Annals of the Association of American Geographers 96, 302-322.</w:t>
      </w:r>
    </w:p>
    <w:p w:rsidR="00B00893" w:rsidRPr="00E318C5" w:rsidRDefault="00B00893" w:rsidP="00E318C5">
      <w:pPr>
        <w:pStyle w:val="EndNoteBibliography"/>
        <w:rPr>
          <w:noProof/>
        </w:rPr>
      </w:pPr>
      <w:r w:rsidRPr="00E318C5">
        <w:rPr>
          <w:noProof/>
        </w:rPr>
        <w:t xml:space="preserve">CI, (2012) The Biodiversity Hotspots, [online] URL: </w:t>
      </w:r>
      <w:r w:rsidRPr="00B00893">
        <w:rPr>
          <w:noProof/>
        </w:rPr>
        <w:t>www.conservation.org/where/priority_areas/hotspots/north_central_america/Mesoamerica/Pages/default.aspx</w:t>
      </w:r>
      <w:r w:rsidRPr="00E318C5">
        <w:rPr>
          <w:noProof/>
        </w:rPr>
        <w:t>.</w:t>
      </w:r>
    </w:p>
    <w:p w:rsidR="00B00893" w:rsidRPr="00E318C5" w:rsidRDefault="00B00893" w:rsidP="00E318C5">
      <w:pPr>
        <w:pStyle w:val="EndNoteBibliography"/>
        <w:rPr>
          <w:noProof/>
        </w:rPr>
      </w:pPr>
      <w:r w:rsidRPr="00E318C5">
        <w:rPr>
          <w:noProof/>
        </w:rPr>
        <w:t>Clark, C. (2000) Land Tenure Delegitimation and Social Mobility in Tropical Petén, Guatemala. Human Organization 59, 419-427.</w:t>
      </w:r>
    </w:p>
    <w:p w:rsidR="00B00893" w:rsidRPr="00E318C5" w:rsidRDefault="00B00893" w:rsidP="00E318C5">
      <w:pPr>
        <w:pStyle w:val="EndNoteBibliography"/>
        <w:rPr>
          <w:noProof/>
        </w:rPr>
      </w:pPr>
      <w:r w:rsidRPr="00E318C5">
        <w:rPr>
          <w:noProof/>
        </w:rPr>
        <w:t>Coad, L., Leverington, F., Knights, K., Geldmann, J., Eassom, A., Kapos, V., Kingston, N., de Lima, M., Zamora, C., Cuardros, I., Nolte, C., Burgess, N.D., Hockings, M. (2015) Measuring impact of protected area management interventions: current and future use of the Global Database of Protected Area Management Effectiveness. Philosophical Transactions of the Royal Society B: Biological Sciences 370.</w:t>
      </w:r>
    </w:p>
    <w:p w:rsidR="00B00893" w:rsidRPr="00E318C5" w:rsidRDefault="00B00893" w:rsidP="00E318C5">
      <w:pPr>
        <w:pStyle w:val="EndNoteBibliography"/>
        <w:rPr>
          <w:noProof/>
        </w:rPr>
      </w:pPr>
      <w:r w:rsidRPr="00E318C5">
        <w:rPr>
          <w:noProof/>
        </w:rPr>
        <w:t>Coleman, E.A. (2009) Institutional factors affecting biophysical outcomes in forest management. Journal of Policy Analysis and Management 28, 122-146.</w:t>
      </w:r>
    </w:p>
    <w:p w:rsidR="00B00893" w:rsidRPr="00E318C5" w:rsidRDefault="00B00893" w:rsidP="00E318C5">
      <w:pPr>
        <w:pStyle w:val="EndNoteBibliography"/>
        <w:rPr>
          <w:noProof/>
        </w:rPr>
      </w:pPr>
      <w:r w:rsidRPr="00E318C5">
        <w:rPr>
          <w:noProof/>
        </w:rPr>
        <w:t>Coleman, E.A., Fischer, B., Kershaw, J.A. (2011) Using Stocking Guides to Take Stock of Forest Institutions. Society &amp; Natural Resources 25, 209-215.</w:t>
      </w:r>
    </w:p>
    <w:p w:rsidR="00B00893" w:rsidRPr="00E318C5" w:rsidRDefault="00B00893" w:rsidP="00E318C5">
      <w:pPr>
        <w:pStyle w:val="EndNoteBibliography"/>
        <w:rPr>
          <w:noProof/>
        </w:rPr>
      </w:pPr>
      <w:r w:rsidRPr="00E318C5">
        <w:rPr>
          <w:noProof/>
        </w:rPr>
        <w:t>Collier, D. (2011) Understanding Process Tracing. PS: Political Science &amp; Politics 44, 823-830.</w:t>
      </w:r>
    </w:p>
    <w:p w:rsidR="00B00893" w:rsidRPr="00E318C5" w:rsidRDefault="00B00893" w:rsidP="00E318C5">
      <w:pPr>
        <w:pStyle w:val="EndNoteBibliography"/>
        <w:rPr>
          <w:noProof/>
        </w:rPr>
      </w:pPr>
      <w:r w:rsidRPr="00E318C5">
        <w:rPr>
          <w:noProof/>
        </w:rPr>
        <w:t>CONANP, (2000) Programa de Manejo de la Reserva de la Biosfera Calakmul. CONAP, Mexico City.</w:t>
      </w:r>
    </w:p>
    <w:p w:rsidR="00B00893" w:rsidRPr="00E318C5" w:rsidRDefault="00B00893" w:rsidP="00E318C5">
      <w:pPr>
        <w:pStyle w:val="EndNoteBibliography"/>
        <w:rPr>
          <w:noProof/>
        </w:rPr>
      </w:pPr>
      <w:r w:rsidRPr="00E318C5">
        <w:rPr>
          <w:noProof/>
        </w:rPr>
        <w:t>CONAP (2001a) Base de datos sobre población tierras y medio ambiente en la Reserva de la Biósfera Maya, Guatemala.</w:t>
      </w:r>
    </w:p>
    <w:p w:rsidR="00B00893" w:rsidRPr="00E318C5" w:rsidRDefault="00B00893" w:rsidP="00E318C5">
      <w:pPr>
        <w:pStyle w:val="EndNoteBibliography"/>
        <w:rPr>
          <w:noProof/>
        </w:rPr>
      </w:pPr>
      <w:r w:rsidRPr="00E318C5">
        <w:rPr>
          <w:noProof/>
        </w:rPr>
        <w:t>CONAP (2001b) Plan Maestro de la Reserva de la Biósfera Maya. CONAP, Petén, Guatemala.</w:t>
      </w:r>
    </w:p>
    <w:p w:rsidR="00B00893" w:rsidRPr="00E318C5" w:rsidRDefault="00B00893" w:rsidP="00E318C5">
      <w:pPr>
        <w:pStyle w:val="EndNoteBibliography"/>
        <w:rPr>
          <w:noProof/>
        </w:rPr>
      </w:pPr>
      <w:r w:rsidRPr="00E318C5">
        <w:rPr>
          <w:noProof/>
        </w:rPr>
        <w:t>CONAP, (2006) Plan maestro 2006-2010 Parque Nacional Yaxha-Nakum-Naranjo, in: Reserva de la Biosfera Maya (Ed.), Petén, Guatemala.</w:t>
      </w:r>
    </w:p>
    <w:p w:rsidR="00B00893" w:rsidRPr="00E318C5" w:rsidRDefault="00B00893" w:rsidP="00E318C5">
      <w:pPr>
        <w:pStyle w:val="EndNoteBibliography"/>
        <w:rPr>
          <w:noProof/>
        </w:rPr>
      </w:pPr>
      <w:r w:rsidRPr="00E318C5">
        <w:rPr>
          <w:noProof/>
        </w:rPr>
        <w:t>Convention on Biological Diversity, (2011) Conference of the Parties Decision X/2: Strategic plan for biodiversity 2011–2020.</w:t>
      </w:r>
    </w:p>
    <w:p w:rsidR="00B00893" w:rsidRPr="00E318C5" w:rsidRDefault="00B00893" w:rsidP="00E318C5">
      <w:pPr>
        <w:pStyle w:val="EndNoteBibliography"/>
        <w:rPr>
          <w:noProof/>
        </w:rPr>
      </w:pPr>
      <w:r w:rsidRPr="00E318C5">
        <w:rPr>
          <w:noProof/>
        </w:rPr>
        <w:lastRenderedPageBreak/>
        <w:t>Cox, M., Villamayor-Tomas, S., Epstein, G., Evans, L., Ban, N.C., Fleischman, F., Nenadovic, M., Garcia-Lopez, G. (2016) Synthesizing theories of natural resource management and governance. Global Environmental Change 39, 45-56.</w:t>
      </w:r>
    </w:p>
    <w:p w:rsidR="00B00893" w:rsidRPr="00E318C5" w:rsidRDefault="00B00893" w:rsidP="00E318C5">
      <w:pPr>
        <w:pStyle w:val="EndNoteBibliography"/>
        <w:rPr>
          <w:noProof/>
        </w:rPr>
      </w:pPr>
      <w:r w:rsidRPr="00E318C5">
        <w:rPr>
          <w:noProof/>
        </w:rPr>
        <w:t>Di Minin, E., Toivonen, T. (2015) Global Protected Area Expansion: Creating More than Paper Parks. BioScience 65, 637-638.</w:t>
      </w:r>
    </w:p>
    <w:p w:rsidR="00B00893" w:rsidRPr="00E318C5" w:rsidRDefault="00B00893" w:rsidP="00E318C5">
      <w:pPr>
        <w:pStyle w:val="EndNoteBibliography"/>
        <w:rPr>
          <w:noProof/>
        </w:rPr>
      </w:pPr>
      <w:r w:rsidRPr="00E318C5">
        <w:rPr>
          <w:noProof/>
        </w:rPr>
        <w:t>Diamond, J.M. (1975) The island dilemma: Lessons of modern biogeographic studies for the design of natural reserves. Biological Conservation 7, 129-146.</w:t>
      </w:r>
    </w:p>
    <w:p w:rsidR="00B00893" w:rsidRPr="00E318C5" w:rsidRDefault="00B00893" w:rsidP="00E318C5">
      <w:pPr>
        <w:pStyle w:val="EndNoteBibliography"/>
        <w:rPr>
          <w:noProof/>
        </w:rPr>
      </w:pPr>
      <w:r w:rsidRPr="00E318C5">
        <w:rPr>
          <w:noProof/>
        </w:rPr>
        <w:t>Edgar, G.J., Stuart-Smith, R.D., Willis, T.J., Kininmonth, S., Baker, S.C., Banks, S., Barrett, N.S., Becerro, M.A., Bernard, A.T.F., Berkhout, J., Buxton, C.D., Campbell, S.J., Cooper, A.T., Davey, M., Edgar, S.C., Forsterra, G., Galvan, D.E., Irigoyen, A.J., Kushner, D.J., Moura, R., Parnell, P.E., Shears, N.T., Soler, G., Strain, E.M.A., Thomson, R.J. (2014) Global conservation outcomes depend on marine protected areas with five key features. Nature 506, 216-220.</w:t>
      </w:r>
    </w:p>
    <w:p w:rsidR="00B00893" w:rsidRPr="00E318C5" w:rsidRDefault="00B00893" w:rsidP="00E318C5">
      <w:pPr>
        <w:pStyle w:val="EndNoteBibliography"/>
        <w:rPr>
          <w:noProof/>
        </w:rPr>
      </w:pPr>
      <w:r w:rsidRPr="00E318C5">
        <w:rPr>
          <w:noProof/>
        </w:rPr>
        <w:t>Ellis, E.A., Romero Montero, J.A., Hernández Gómez, I.U. (2017a) Deforestation Processes in the State of Quintana Roo, Mexico. Tropical Conservation Science 10, 1940082917697259.</w:t>
      </w:r>
    </w:p>
    <w:p w:rsidR="00B00893" w:rsidRPr="00E318C5" w:rsidRDefault="00B00893" w:rsidP="00E318C5">
      <w:pPr>
        <w:pStyle w:val="EndNoteBibliography"/>
        <w:rPr>
          <w:noProof/>
        </w:rPr>
      </w:pPr>
      <w:r w:rsidRPr="00E318C5">
        <w:rPr>
          <w:noProof/>
        </w:rPr>
        <w:t>Ellis, E.A., Romero Montero, J.A., Hernández Gómez, I.U., Porter-Bolland, L., Ellis, P.W. (2017b) Private property and Mennonites are major drivers of forest cover loss in central Yucatan Peninsula, Mexico. Land Use Policy 69, 474-484.</w:t>
      </w:r>
    </w:p>
    <w:p w:rsidR="00B00893" w:rsidRPr="00E318C5" w:rsidRDefault="00B00893" w:rsidP="00E318C5">
      <w:pPr>
        <w:pStyle w:val="EndNoteBibliography"/>
        <w:rPr>
          <w:noProof/>
        </w:rPr>
      </w:pPr>
      <w:r w:rsidRPr="00E318C5">
        <w:rPr>
          <w:noProof/>
        </w:rPr>
        <w:t>Escalón, S., (2017) A new secret runway found in Laguna del Tigre National Park in Guatemala, Mongabay.com.</w:t>
      </w:r>
    </w:p>
    <w:p w:rsidR="00B00893" w:rsidRPr="00E318C5" w:rsidRDefault="00B00893" w:rsidP="00E318C5">
      <w:pPr>
        <w:pStyle w:val="EndNoteBibliography"/>
        <w:rPr>
          <w:noProof/>
        </w:rPr>
      </w:pPr>
      <w:r w:rsidRPr="00E318C5">
        <w:rPr>
          <w:noProof/>
        </w:rPr>
        <w:t>Evans, P.B., Rueschemeyer, D., Skocpol, T., Social Science Research, C., Committee on, S., Social, S., Joint Committee on Latin American, S., Joint Committee on Western, E. (1985) Bringing the state back in. Cambridge University Press, Cambridge [Cambridgeshire]; New York.</w:t>
      </w:r>
    </w:p>
    <w:p w:rsidR="00B00893" w:rsidRPr="00E318C5" w:rsidRDefault="00B00893" w:rsidP="00E318C5">
      <w:pPr>
        <w:pStyle w:val="EndNoteBibliography"/>
        <w:rPr>
          <w:noProof/>
        </w:rPr>
      </w:pPr>
      <w:r w:rsidRPr="00E318C5">
        <w:rPr>
          <w:noProof/>
        </w:rPr>
        <w:t>Fleischman, F., Ban, N.C., Evans, L.S., Epstein, G., Garcia-Lopez, G., Villamayor-Tomas, S. (2014) Governing large-scale social-ecological systems: Lessons from five cases. International Journal of the Commons 8.</w:t>
      </w:r>
    </w:p>
    <w:p w:rsidR="00B00893" w:rsidRPr="00E318C5" w:rsidRDefault="00B00893" w:rsidP="00E318C5">
      <w:pPr>
        <w:pStyle w:val="EndNoteBibliography"/>
        <w:rPr>
          <w:noProof/>
        </w:rPr>
      </w:pPr>
      <w:r w:rsidRPr="00E318C5">
        <w:rPr>
          <w:noProof/>
        </w:rPr>
        <w:t>Furumo, P.R., Aide, T.M. (2017) Characterizing commercial oil palm expansion in Latin America: land use change and trade. Environmental Research Letters 12, 024008.</w:t>
      </w:r>
    </w:p>
    <w:p w:rsidR="00B00893" w:rsidRPr="00E318C5" w:rsidRDefault="00B00893" w:rsidP="00E318C5">
      <w:pPr>
        <w:pStyle w:val="EndNoteBibliography"/>
        <w:rPr>
          <w:noProof/>
        </w:rPr>
      </w:pPr>
      <w:r w:rsidRPr="00E318C5">
        <w:rPr>
          <w:noProof/>
        </w:rPr>
        <w:t>Galleti, H., (1997) The Maya Forest of Quintana Roo: thirteen years of conservation and community development, in: Primack, R.B., Bray, D., Galleti, H., Ponciano, I. (Eds.), Timber, tourists, and temples: conservation and development in the Maya Forest of Belize, Guatemala, and Mexico. Island Press, Washington, D.C., pp. xx, 426 p.</w:t>
      </w:r>
    </w:p>
    <w:p w:rsidR="00B00893" w:rsidRPr="00E318C5" w:rsidRDefault="00B00893" w:rsidP="00E318C5">
      <w:pPr>
        <w:pStyle w:val="EndNoteBibliography"/>
        <w:rPr>
          <w:noProof/>
        </w:rPr>
      </w:pPr>
      <w:r w:rsidRPr="00E318C5">
        <w:rPr>
          <w:noProof/>
        </w:rPr>
        <w:t>Geoghegan, J., Villar, S.C., Klepeis, P., Mendoza, P.M., Ogneva-Himmelberger, Y., Chowdhury, R.R., Turner, B.L., Vance, C. (2001) Modeling tropical deforestation in the southern Yucatán peninsular region: comparing survey and satellite data. Agriculture, Ecosystems &amp; Environment 85, 25-46.</w:t>
      </w:r>
    </w:p>
    <w:p w:rsidR="00B00893" w:rsidRPr="00E318C5" w:rsidRDefault="00B00893" w:rsidP="00E318C5">
      <w:pPr>
        <w:pStyle w:val="EndNoteBibliography"/>
        <w:rPr>
          <w:noProof/>
        </w:rPr>
      </w:pPr>
      <w:r w:rsidRPr="00E318C5">
        <w:rPr>
          <w:noProof/>
        </w:rPr>
        <w:t>George, A.L., Bennett, A. (2005) Case studies and theory development in the social sciences. MIT Press, Cambridge, Mass.</w:t>
      </w:r>
    </w:p>
    <w:p w:rsidR="00B00893" w:rsidRPr="00E318C5" w:rsidRDefault="00B00893" w:rsidP="00E318C5">
      <w:pPr>
        <w:pStyle w:val="EndNoteBibliography"/>
        <w:rPr>
          <w:noProof/>
        </w:rPr>
      </w:pPr>
      <w:r w:rsidRPr="00E318C5">
        <w:rPr>
          <w:noProof/>
        </w:rPr>
        <w:t>Gibson, C.C., Williams, J.T., Ostrom, E. (2005) Local Enforcement and Better Forests. World Development 33, 273-284.</w:t>
      </w:r>
    </w:p>
    <w:p w:rsidR="00B00893" w:rsidRPr="00E318C5" w:rsidRDefault="00B00893" w:rsidP="00E318C5">
      <w:pPr>
        <w:pStyle w:val="EndNoteBibliography"/>
        <w:rPr>
          <w:noProof/>
        </w:rPr>
      </w:pPr>
      <w:r w:rsidRPr="00E318C5">
        <w:rPr>
          <w:noProof/>
        </w:rPr>
        <w:t>Gill, D.A., Mascia, M.B., Ahmadia, G.N., Glew, L., Lester, S.E., Barnes, M., Craigie, I., Darling, E.S., Free, C.M., Geldmann, J., Holst, S., Jensen, O.P., White, A.T., Basurto, X., Coad, L., Gates, R.D., Guannel, G., Mumby, P.J., Thomas, H., Whitmee, S., Woodley, S., Fox, H.E. (2017) Capacity shortfalls hinder the performance of marine protected areas globally. Nature 543, 665-669.</w:t>
      </w:r>
    </w:p>
    <w:p w:rsidR="00B00893" w:rsidRPr="00E318C5" w:rsidRDefault="00B00893" w:rsidP="00E318C5">
      <w:pPr>
        <w:pStyle w:val="EndNoteBibliography"/>
        <w:rPr>
          <w:noProof/>
        </w:rPr>
      </w:pPr>
      <w:r w:rsidRPr="00E318C5">
        <w:rPr>
          <w:noProof/>
        </w:rPr>
        <w:lastRenderedPageBreak/>
        <w:t>Grandia, L. (2009) Raw hides: hegemony and cattle in Guatemala’s northern lowlands. Geoforum 40, 720-731.</w:t>
      </w:r>
    </w:p>
    <w:p w:rsidR="00B00893" w:rsidRPr="00E318C5" w:rsidRDefault="00B00893" w:rsidP="00E318C5">
      <w:pPr>
        <w:pStyle w:val="EndNoteBibliography"/>
        <w:rPr>
          <w:noProof/>
        </w:rPr>
      </w:pPr>
      <w:r w:rsidRPr="00E318C5">
        <w:rPr>
          <w:noProof/>
        </w:rPr>
        <w:t>Haenn, N. (2005) Fields of power, forests of discontent culture, conservation, and the state in Mexico. University of Arizona Press, Tucson.</w:t>
      </w:r>
    </w:p>
    <w:p w:rsidR="00B00893" w:rsidRPr="00E318C5" w:rsidRDefault="00B00893" w:rsidP="00E318C5">
      <w:pPr>
        <w:pStyle w:val="EndNoteBibliography"/>
        <w:rPr>
          <w:noProof/>
        </w:rPr>
      </w:pPr>
      <w:r w:rsidRPr="00E318C5">
        <w:rPr>
          <w:noProof/>
        </w:rPr>
        <w:t>Haenn, N. (2006) The changing and enduring ejido: a state and regional examination of Mexico's land tenure counter-reforms. Land Use Policy 23, 136-146.</w:t>
      </w:r>
    </w:p>
    <w:p w:rsidR="00B00893" w:rsidRPr="00E318C5" w:rsidRDefault="00B00893" w:rsidP="00E318C5">
      <w:pPr>
        <w:pStyle w:val="EndNoteBibliography"/>
        <w:rPr>
          <w:noProof/>
        </w:rPr>
      </w:pPr>
      <w:r w:rsidRPr="00E318C5">
        <w:rPr>
          <w:noProof/>
        </w:rPr>
        <w:t>Hall, P.A., Taylor, R.C.R. (1996) Political Science and the Three New Institutionalisms. Political Studies 44, 936-957.</w:t>
      </w:r>
    </w:p>
    <w:p w:rsidR="00B00893" w:rsidRPr="00E318C5" w:rsidRDefault="00B00893" w:rsidP="00E318C5">
      <w:pPr>
        <w:pStyle w:val="EndNoteBibliography"/>
        <w:rPr>
          <w:noProof/>
        </w:rPr>
      </w:pPr>
      <w:r w:rsidRPr="00E318C5">
        <w:rPr>
          <w:noProof/>
        </w:rPr>
        <w:t>Hayes, T.M. (2006) Parks, People, and Forest Protection: An Institutional Assessment of the Effectiveness of Protected Areas. World Development 34, 2064-2075.</w:t>
      </w:r>
    </w:p>
    <w:p w:rsidR="00B00893" w:rsidRPr="00E318C5" w:rsidRDefault="00B00893" w:rsidP="00E318C5">
      <w:pPr>
        <w:pStyle w:val="EndNoteBibliography"/>
        <w:rPr>
          <w:noProof/>
        </w:rPr>
      </w:pPr>
      <w:r w:rsidRPr="00E318C5">
        <w:rPr>
          <w:noProof/>
        </w:rPr>
        <w:t>Hayes, T.M., Ostrom, E. (2005) Conserving the world's forests: Are protected areas the only way? Indiana Law Review 38, 595.</w:t>
      </w:r>
    </w:p>
    <w:p w:rsidR="00B00893" w:rsidRPr="00E318C5" w:rsidRDefault="00B00893" w:rsidP="00E318C5">
      <w:pPr>
        <w:pStyle w:val="EndNoteBibliography"/>
        <w:rPr>
          <w:noProof/>
        </w:rPr>
      </w:pPr>
      <w:r w:rsidRPr="00E318C5">
        <w:rPr>
          <w:noProof/>
        </w:rPr>
        <w:t>Henrich, J.P., Boyd, R., Bowles, S., Camerer, C., Fehr, E., Gintis, H., (2004) Foundations of human sociality : economic experiments and ethnographic evidence from fifteen small-scale societies. Oxford University Press, Oxford; New York.</w:t>
      </w:r>
    </w:p>
    <w:p w:rsidR="00B00893" w:rsidRPr="00E318C5" w:rsidRDefault="00B00893" w:rsidP="00E318C5">
      <w:pPr>
        <w:pStyle w:val="EndNoteBibliography"/>
        <w:rPr>
          <w:noProof/>
        </w:rPr>
      </w:pPr>
      <w:r w:rsidRPr="00E318C5">
        <w:rPr>
          <w:noProof/>
        </w:rPr>
        <w:t>INE (1999) Programa de manejo Reserva de la Biosfera de Calakmul. Instituto Nacional de Ecologia, Mexico, City.</w:t>
      </w:r>
    </w:p>
    <w:p w:rsidR="00B00893" w:rsidRPr="00E318C5" w:rsidRDefault="00B00893" w:rsidP="00E318C5">
      <w:pPr>
        <w:pStyle w:val="EndNoteBibliography"/>
        <w:rPr>
          <w:noProof/>
        </w:rPr>
      </w:pPr>
      <w:r w:rsidRPr="00E318C5">
        <w:rPr>
          <w:noProof/>
        </w:rPr>
        <w:t>insightcrime.org, (2011) Grupos de Poder en Petén: Territorio, política y negocios. InSight Crime, Medellin, Colombia.</w:t>
      </w:r>
    </w:p>
    <w:p w:rsidR="00B00893" w:rsidRPr="00E318C5" w:rsidRDefault="00B00893" w:rsidP="00E318C5">
      <w:pPr>
        <w:pStyle w:val="EndNoteBibliography"/>
        <w:rPr>
          <w:noProof/>
        </w:rPr>
      </w:pPr>
      <w:r w:rsidRPr="00E318C5">
        <w:rPr>
          <w:noProof/>
        </w:rPr>
        <w:t>Jones, B.D. (2001) Politics and the architecture of choice : bounded rationality and governance. University of Chicago Press, Chicago.</w:t>
      </w:r>
    </w:p>
    <w:p w:rsidR="00B00893" w:rsidRPr="00E318C5" w:rsidRDefault="00B00893" w:rsidP="00E318C5">
      <w:pPr>
        <w:pStyle w:val="EndNoteBibliography"/>
        <w:rPr>
          <w:noProof/>
        </w:rPr>
      </w:pPr>
      <w:r w:rsidRPr="00E318C5">
        <w:rPr>
          <w:noProof/>
        </w:rPr>
        <w:t>Jordan, G., Aide, T.M., Grau, H.R., Navin, R. (2015) Cropland/pastureland dynamics and the slowdown of deforestation in Latin America. Environmental Research Letters 10, 034017.</w:t>
      </w:r>
    </w:p>
    <w:p w:rsidR="00B00893" w:rsidRPr="00E318C5" w:rsidRDefault="00B00893" w:rsidP="00E318C5">
      <w:pPr>
        <w:pStyle w:val="EndNoteBibliography"/>
        <w:rPr>
          <w:noProof/>
        </w:rPr>
      </w:pPr>
      <w:r w:rsidRPr="00E318C5">
        <w:rPr>
          <w:noProof/>
        </w:rPr>
        <w:t>Kahneman, D. (2011) Thinking, fast and slow. Farrar, Straus and Giroux, New York.</w:t>
      </w:r>
    </w:p>
    <w:p w:rsidR="00B00893" w:rsidRPr="00E318C5" w:rsidRDefault="00B00893" w:rsidP="00E318C5">
      <w:pPr>
        <w:pStyle w:val="EndNoteBibliography"/>
        <w:rPr>
          <w:noProof/>
        </w:rPr>
      </w:pPr>
      <w:r w:rsidRPr="00E318C5">
        <w:rPr>
          <w:noProof/>
        </w:rPr>
        <w:t>Kaimowitz, D., (1995) Land tenure, land markets, and natural resource management by large landowners in the Petén and the Northern Transversal of Guatemala, Latin American Studies Association CIFOR, Washington.</w:t>
      </w:r>
    </w:p>
    <w:p w:rsidR="00B00893" w:rsidRPr="00E318C5" w:rsidRDefault="00B00893" w:rsidP="00E318C5">
      <w:pPr>
        <w:pStyle w:val="EndNoteBibliography"/>
        <w:rPr>
          <w:noProof/>
        </w:rPr>
      </w:pPr>
      <w:r w:rsidRPr="00E318C5">
        <w:rPr>
          <w:noProof/>
        </w:rPr>
        <w:t>Karimi, A., Tulloch, A.I.T., Brown, G., Hockings, M. (2017) Understanding the effects of different social data on selecting priority conservation areas. Conservation Biology 31, 1439-1449.</w:t>
      </w:r>
    </w:p>
    <w:p w:rsidR="00B00893" w:rsidRPr="00E318C5" w:rsidRDefault="00B00893" w:rsidP="00E318C5">
      <w:pPr>
        <w:pStyle w:val="EndNoteBibliography"/>
        <w:rPr>
          <w:noProof/>
        </w:rPr>
      </w:pPr>
      <w:r w:rsidRPr="00E318C5">
        <w:rPr>
          <w:noProof/>
        </w:rPr>
        <w:t>Kashwan, P. (2017a) Democracy in the woods : environmental conservation and social justice in India, Tanzania, and Mexico. Oxford University Press, New York, NY.</w:t>
      </w:r>
    </w:p>
    <w:p w:rsidR="00B00893" w:rsidRPr="00E318C5" w:rsidRDefault="00B00893" w:rsidP="00E318C5">
      <w:pPr>
        <w:pStyle w:val="EndNoteBibliography"/>
        <w:rPr>
          <w:noProof/>
        </w:rPr>
      </w:pPr>
      <w:r w:rsidRPr="00E318C5">
        <w:rPr>
          <w:noProof/>
        </w:rPr>
        <w:t>Kashwan, P. (2017b) Inequality, democracy, and the environment: A cross-national analysis. Ecological Economics 131, 139-151.</w:t>
      </w:r>
    </w:p>
    <w:p w:rsidR="00B00893" w:rsidRPr="00E318C5" w:rsidRDefault="00B00893" w:rsidP="00E318C5">
      <w:pPr>
        <w:pStyle w:val="EndNoteBibliography"/>
        <w:rPr>
          <w:noProof/>
        </w:rPr>
      </w:pPr>
      <w:r w:rsidRPr="00E318C5">
        <w:rPr>
          <w:noProof/>
        </w:rPr>
        <w:t>Keys, E., (2004) Jalapeño pepper cultivation: emergent commercial land use, in: Turner, B.L., Geoghegan, J.M., Foster, D.R. (Eds.), Integrated land-change science and tropical deforestation in the southern Yucatán: final frontiers. Oxford University Press, Oxford ; New York, pp. 207-220.</w:t>
      </w:r>
    </w:p>
    <w:p w:rsidR="00B00893" w:rsidRPr="00E318C5" w:rsidRDefault="00B00893" w:rsidP="00E318C5">
      <w:pPr>
        <w:pStyle w:val="EndNoteBibliography"/>
        <w:rPr>
          <w:noProof/>
        </w:rPr>
      </w:pPr>
      <w:r w:rsidRPr="00E318C5">
        <w:rPr>
          <w:noProof/>
        </w:rPr>
        <w:t>Klepeis, P., Turner, B.L. (2001) Integrated land history and global change science: the example of the Southern Yucatan Peninsular Region project. Land Use Policy 18, 27-39.</w:t>
      </w:r>
    </w:p>
    <w:p w:rsidR="00B00893" w:rsidRPr="00E318C5" w:rsidRDefault="00B00893" w:rsidP="00E318C5">
      <w:pPr>
        <w:pStyle w:val="EndNoteBibliography"/>
        <w:rPr>
          <w:noProof/>
        </w:rPr>
      </w:pPr>
      <w:r w:rsidRPr="00E318C5">
        <w:rPr>
          <w:noProof/>
        </w:rPr>
        <w:t xml:space="preserve">Laurance, W.F., Carolina Useche, D., Rendeiro, J., Kalka, M., Bradshaw, C.J.A., Sloan, S.P., Laurance, S.G., Campbell, M., Abernethy, K., Alvarez, P., Arroyo-Rodriguez, V., Ashton, P., Benitez-Malvido, J., Blom, A., Bobo, K.S., Cannon, C.H., Cao, M., Carroll, R., Chapman, C., Coates, R., Cords, M., Danielsen, F., De Dijn, B., Dinerstein, E., Donnelly, M.A., Edwards, D., Edwards, F., Farwig, N., Fashing, P., Forget, P.-M., Foster, M., Gale, G., Harris, D., Harrison, R., Hart, J., Karpanty, S., John Kress, W., Krishnaswamy, J., Logsdon, W., Lovett, J., Magnusson, </w:t>
      </w:r>
      <w:r w:rsidRPr="00E318C5">
        <w:rPr>
          <w:noProof/>
        </w:rPr>
        <w:lastRenderedPageBreak/>
        <w:t>W., Maisels, F., Marshall, A.R., McClearn, D., Mudappa, D., Nielsen, M.R., Pearson, R., Pitman, N., van der Ploeg, J., Plumptre, A., Poulsen, J., Quesada, M., Rainey, H., Robinson, D., Roetgers, C., Rovero, F., Scatena, F., Schulze, C., Sheil, D., Struhsaker, T., Terborgh, J., Thomas, D., Timm, R., Nicolas Urbina-Cardona, J., Vasudevan, K., Joseph Wright, S., Carlos Arias-G, J., Arroyo, L., Ashton, M., Auzel, P., Babaasa, D., Babweteera, F., Baker, P., Banki, O., Bass, M., Bila-Isia, I., Blake, S., Brockelman, W., Brokaw, N., Bruhl, C.A., Bunyavejchewin, S., Chao, J.-T., Chave, J., Chellam, R., Clark, C.J., Clavijo, J., Congdon, R., Corlett, R., Dattaraja, H.S., Dave, C., Davies, G., de Mello Beisiegel, B., de Nazare Paes da Silva, R., Di Fiore, A., Diesmos, A., Dirzo, R., Doran-Sheehy, D., Eaton, M., Emmons, L., Estrada, A., Ewango, C., Fedigan, L., Feer, F., Fruth, B., Giacalone Willis, J., Goodale, U., Goodman, S., Guix, J.C., Guthiga, P., Haber, W., Hamer, K., Herbinger, I., Hill, J., Huang, Z., Fang Sun, I., Ickes, K., Itoh, A., Ivanauskas, N., Jackes, B., Janovec, J., Janzen, D., Jiangming, M., Jin, C., Jones, T., Justiniano, H., Kalko, E., Kasangaki, A., Killeen, T., King, H.-b., Klop, E., Knott, C., Kone, I., Kudavidanage, E., Lahoz da Silva Ribeiro, J., Lattke, J., Laval, R., Lawton, R., Leal, M., Leighton, M., Lentino, M., Leonel, C., Lindsell, J., Ling-Ling, L., Eduard Linsenmair, K., Losos, E., Lugo, A., Lwanga, J., Mack, A.L., Martins, M., Scott McGraw, W., McNab, R., Montag, L., Myers Thompson, J., Nabe-Nielsen, J., Nakagawa, M., Nepal, S., Norconk, M., Novotny, V., O'Donnell, S., Opiang, M., Ouboter, P., Parker, K., Parthasarathy, N., Pisciotta, K., Prawiradilaga, D., Pringle, C., Rajathurai, S., Reichard, U., Reinartz, G., Renton, K., Reynolds, G., Reynolds, V., Riley, E., Rodel, M.-O., Rothman, J., Round, P., Sakai, S., Sanaiotti, T., Savini, T., Schaab, G., Seidensticker, J., Siaka, A., Silman, M.R., Smith, T.B., de Almeida, S.S., Sodhi, N., Stanford, C., Stewart, K., Stokes, E., Stoner, K.E., Sukumar, R., Surbeck, M., Tobler, M., Tscharntke, T., Turkalo, A., Umapathy, G., van Weerd, M., Vega Rivera, J., Venkataraman, M., Venn, L., Verea, C., Volkmer de Castilho, C., Waltert, M., Wang, B., Watts, D., Weber, W., West, P., Whitacre, D., Whitney, K., Wilkie, D., Williams, S., Wright, D.D., Wright, P., Xiankai, L., Yonzon, P., Zamzani, F. (2012) Averting biodiversity collapse in tropical forest protected areas. Nature 489, 290-294.</w:t>
      </w:r>
    </w:p>
    <w:p w:rsidR="00B00893" w:rsidRPr="00E318C5" w:rsidRDefault="00B00893" w:rsidP="00E318C5">
      <w:pPr>
        <w:pStyle w:val="EndNoteBibliography"/>
        <w:rPr>
          <w:noProof/>
        </w:rPr>
      </w:pPr>
      <w:r w:rsidRPr="00E318C5">
        <w:rPr>
          <w:noProof/>
        </w:rPr>
        <w:t>Leverington, F., Costa, K.L., Pavese, H., Lisle, A., Hockings, M. (2010) A Global Analysis of Protected Area Management Effectiveness. Environmental Management 46, 685-698.</w:t>
      </w:r>
    </w:p>
    <w:p w:rsidR="00B00893" w:rsidRPr="00E318C5" w:rsidRDefault="00B00893" w:rsidP="00E318C5">
      <w:pPr>
        <w:pStyle w:val="EndNoteBibliography"/>
        <w:rPr>
          <w:noProof/>
        </w:rPr>
      </w:pPr>
      <w:r w:rsidRPr="00E318C5">
        <w:rPr>
          <w:noProof/>
        </w:rPr>
        <w:t>Loening, L.-J., Sautter, H., (2005) in: Guatemala, W.d.b.l.i.t.l.o.t.A.r.o.t.e.a.h.p.c.d.i. (Ed.), Valuation and Conservation of Biodiversity. Springer, Berlin, Heidelberg, Berlin, pp. 391-418.</w:t>
      </w:r>
    </w:p>
    <w:p w:rsidR="00B00893" w:rsidRPr="00E318C5" w:rsidRDefault="00B00893" w:rsidP="00E318C5">
      <w:pPr>
        <w:pStyle w:val="EndNoteBibliography"/>
        <w:rPr>
          <w:noProof/>
        </w:rPr>
      </w:pPr>
      <w:r w:rsidRPr="00E318C5">
        <w:rPr>
          <w:noProof/>
        </w:rPr>
        <w:t>Martin, A., Myers, R., Dawson, N.M. (2017) The Park is Ruining our Livelihoods. We Support the Park! Unravelling the Paradox of Attitudes to Protected Areas. Human ecology.</w:t>
      </w:r>
    </w:p>
    <w:p w:rsidR="00B00893" w:rsidRPr="00E318C5" w:rsidRDefault="00B00893" w:rsidP="00E318C5">
      <w:pPr>
        <w:pStyle w:val="EndNoteBibliography"/>
        <w:rPr>
          <w:noProof/>
        </w:rPr>
      </w:pPr>
      <w:r w:rsidRPr="00E318C5">
        <w:rPr>
          <w:noProof/>
        </w:rPr>
        <w:t>Meier, K.J., O’Toole, L.J. (2013) Subjective Organizational Performance and Measurement Error: Common Source Bias and Spurious Relationships. Journal of Public Administration Research and Theory 23, 429-456.</w:t>
      </w:r>
    </w:p>
    <w:p w:rsidR="00B00893" w:rsidRPr="00E318C5" w:rsidRDefault="00B00893" w:rsidP="00E318C5">
      <w:pPr>
        <w:pStyle w:val="EndNoteBibliography"/>
        <w:rPr>
          <w:noProof/>
        </w:rPr>
      </w:pPr>
      <w:r w:rsidRPr="00E318C5">
        <w:rPr>
          <w:noProof/>
        </w:rPr>
        <w:t>Monzón-Alvarado, C., Cortina-Villar, S., Schmook, B., Flamenco-Sandoval, A., Christman, Z., Arriola, L. (2012) Land-use decision-making after large-scale forest fires: Analyzing fires as a driver of deforestation in Laguna del Tigre National Park, Guatemala. Applied Geography 35, 43-52.</w:t>
      </w:r>
    </w:p>
    <w:p w:rsidR="00B00893" w:rsidRPr="00E318C5" w:rsidRDefault="00B00893" w:rsidP="00E318C5">
      <w:pPr>
        <w:pStyle w:val="EndNoteBibliography"/>
        <w:rPr>
          <w:noProof/>
        </w:rPr>
      </w:pPr>
      <w:r w:rsidRPr="00E318C5">
        <w:rPr>
          <w:noProof/>
        </w:rPr>
        <w:t>Naughton-Treves, L., Holland, M.B., Brandon, K. (2005) The Role of Protected Areas in Conserving Biodiversity and Sustaining Local Livelihoods. Annual Review of Environment and Resources 30, 219-252.</w:t>
      </w:r>
    </w:p>
    <w:p w:rsidR="00B00893" w:rsidRPr="00E318C5" w:rsidRDefault="00B00893" w:rsidP="00E318C5">
      <w:pPr>
        <w:pStyle w:val="EndNoteBibliography"/>
        <w:rPr>
          <w:noProof/>
        </w:rPr>
      </w:pPr>
      <w:r w:rsidRPr="00E318C5">
        <w:rPr>
          <w:noProof/>
        </w:rPr>
        <w:t>Navarro-Olmedo, S., Haenn, N., Schmook, B., Radel, C. (2016) The Legacy of Mexico's Agrarian Counter-Reforms: Reinforcing Social Hierarchies in Calakmul, Campeche. Journal of Agrarian Change 16, 145-167.</w:t>
      </w:r>
    </w:p>
    <w:p w:rsidR="00B00893" w:rsidRPr="00E318C5" w:rsidRDefault="00B00893" w:rsidP="00E318C5">
      <w:pPr>
        <w:pStyle w:val="EndNoteBibliography"/>
        <w:rPr>
          <w:noProof/>
        </w:rPr>
      </w:pPr>
      <w:r w:rsidRPr="00E318C5">
        <w:rPr>
          <w:noProof/>
        </w:rPr>
        <w:lastRenderedPageBreak/>
        <w:t>Nittler, J., Tschinkelm, H., (2005) Community forest management in the Maya Biosphere Reserve of Guatemala: protection through profits. Submited to the United States Agency for International Development (USAID) and the Sustainable Agriculture and Natural Resource Management (SANREM) Collaborative Research Support Program *CRSP), University of Georgia.</w:t>
      </w:r>
    </w:p>
    <w:p w:rsidR="00B00893" w:rsidRPr="00E318C5" w:rsidRDefault="00B00893" w:rsidP="00E318C5">
      <w:pPr>
        <w:pStyle w:val="EndNoteBibliography"/>
        <w:rPr>
          <w:noProof/>
        </w:rPr>
      </w:pPr>
      <w:r w:rsidRPr="00E318C5">
        <w:rPr>
          <w:noProof/>
        </w:rPr>
        <w:t>North, D.C. (1990) Institutions, Institutional Change, and Economic Performance. Cambridge University Press, New York, NY.</w:t>
      </w:r>
    </w:p>
    <w:p w:rsidR="00B00893" w:rsidRPr="00E318C5" w:rsidRDefault="00B00893" w:rsidP="00E318C5">
      <w:pPr>
        <w:pStyle w:val="EndNoteBibliography"/>
        <w:rPr>
          <w:noProof/>
        </w:rPr>
      </w:pPr>
      <w:r w:rsidRPr="00E318C5">
        <w:rPr>
          <w:noProof/>
        </w:rPr>
        <w:t>Olson, M. (1965) The logic of collective action: public goods and the theory of groups. Harvard University Press, Cambridge, MA.</w:t>
      </w:r>
    </w:p>
    <w:p w:rsidR="00B00893" w:rsidRPr="00E318C5" w:rsidRDefault="00B00893" w:rsidP="00E318C5">
      <w:pPr>
        <w:pStyle w:val="EndNoteBibliography"/>
        <w:rPr>
          <w:noProof/>
        </w:rPr>
      </w:pPr>
      <w:r w:rsidRPr="00E318C5">
        <w:rPr>
          <w:noProof/>
        </w:rPr>
        <w:t>Ostrom, E. (1990) Governing the Commons: The Evolution of Institutions for Collective Action. Cambridge University Press, Cambridge, UK.</w:t>
      </w:r>
    </w:p>
    <w:p w:rsidR="00B00893" w:rsidRPr="00E318C5" w:rsidRDefault="00B00893" w:rsidP="00E318C5">
      <w:pPr>
        <w:pStyle w:val="EndNoteBibliography"/>
        <w:rPr>
          <w:noProof/>
        </w:rPr>
      </w:pPr>
      <w:r w:rsidRPr="00E318C5">
        <w:rPr>
          <w:noProof/>
        </w:rPr>
        <w:t>Ostrom, E. (2005) Understanding Institutional Diversity. Princeton University Press, Princeton, NJ.</w:t>
      </w:r>
    </w:p>
    <w:p w:rsidR="00B00893" w:rsidRPr="00E318C5" w:rsidRDefault="00B00893" w:rsidP="00E318C5">
      <w:pPr>
        <w:pStyle w:val="EndNoteBibliography"/>
        <w:rPr>
          <w:noProof/>
        </w:rPr>
      </w:pPr>
      <w:r w:rsidRPr="00E318C5">
        <w:rPr>
          <w:noProof/>
        </w:rPr>
        <w:t>Ostrom, E., (2007) Insitutional Rational Choice: An Assessment of the Institutional Analysis and Development Framework, in: Sabatier, P. (Ed.), Theories of the Policy Process. Westview Press, Boulder, CO.</w:t>
      </w:r>
    </w:p>
    <w:p w:rsidR="00B00893" w:rsidRPr="00E318C5" w:rsidRDefault="00B00893" w:rsidP="00E318C5">
      <w:pPr>
        <w:pStyle w:val="EndNoteBibliography"/>
        <w:rPr>
          <w:noProof/>
        </w:rPr>
      </w:pPr>
      <w:r w:rsidRPr="00E318C5">
        <w:rPr>
          <w:noProof/>
        </w:rPr>
        <w:t>Ostrom, E., Gardner, R., Walker, J. (1994) Rules, Games, and Common-Pool Resources. University of Michigan Press, Ann Arbor.</w:t>
      </w:r>
    </w:p>
    <w:p w:rsidR="00B00893" w:rsidRPr="00E318C5" w:rsidRDefault="00B00893" w:rsidP="00E318C5">
      <w:pPr>
        <w:pStyle w:val="EndNoteBibliography"/>
        <w:rPr>
          <w:noProof/>
        </w:rPr>
      </w:pPr>
      <w:r w:rsidRPr="00E318C5">
        <w:rPr>
          <w:noProof/>
        </w:rPr>
        <w:t>Persha, L., Agrawal, A., Chhatre, A. (2011) Social and Ecological Synergy: Local Rulemaking, Forest Livelihoods, and Biodiversity Conservation. Science 331, 1606-1608.</w:t>
      </w:r>
    </w:p>
    <w:p w:rsidR="00B00893" w:rsidRPr="00E318C5" w:rsidRDefault="00B00893" w:rsidP="00E318C5">
      <w:pPr>
        <w:pStyle w:val="EndNoteBibliography"/>
        <w:rPr>
          <w:noProof/>
        </w:rPr>
      </w:pPr>
      <w:r w:rsidRPr="00E318C5">
        <w:rPr>
          <w:noProof/>
        </w:rPr>
        <w:t>Pierson, P. (2000) Increasing Returns, Path Dependence, and the Study of Politics. The American political science review 94, 251-267.</w:t>
      </w:r>
    </w:p>
    <w:p w:rsidR="00B00893" w:rsidRPr="00E318C5" w:rsidRDefault="00B00893" w:rsidP="00E318C5">
      <w:pPr>
        <w:pStyle w:val="EndNoteBibliography"/>
        <w:rPr>
          <w:noProof/>
        </w:rPr>
      </w:pPr>
      <w:r w:rsidRPr="00E318C5">
        <w:rPr>
          <w:noProof/>
        </w:rPr>
        <w:t>Pierson, P., (2003) Big, Slow-moving and... invisible: Macrosocial Processes in the Study of Comparative Politics, in: Mahoney, J., Rueschemeyer, D. (Eds.), Comparative Historical Analysis in the Social Sciences. Cambridge Univeristy PRess, Cambridge, pp. 177-207.</w:t>
      </w:r>
    </w:p>
    <w:p w:rsidR="00B00893" w:rsidRPr="00E318C5" w:rsidRDefault="00B00893" w:rsidP="00E318C5">
      <w:pPr>
        <w:pStyle w:val="EndNoteBibliography"/>
        <w:rPr>
          <w:noProof/>
        </w:rPr>
      </w:pPr>
      <w:r w:rsidRPr="00E318C5">
        <w:rPr>
          <w:noProof/>
        </w:rPr>
        <w:t>Pimm, S.L., Jenkins, C.N., Abell, R., Brooks, T.M., Gittleman, J.L., Joppa, L.N., Raven, P.H., Roberts, C.M., Sexton, J.O. (2014) The biodiversity of species and their rates of extinction, distribution, and protection. Science 344.</w:t>
      </w:r>
    </w:p>
    <w:p w:rsidR="00B00893" w:rsidRPr="00E318C5" w:rsidRDefault="00B00893" w:rsidP="00E318C5">
      <w:pPr>
        <w:pStyle w:val="EndNoteBibliography"/>
        <w:rPr>
          <w:noProof/>
        </w:rPr>
      </w:pPr>
      <w:r w:rsidRPr="00E318C5">
        <w:rPr>
          <w:noProof/>
        </w:rPr>
        <w:t>Ponciano, I., (1997) Forest policy and protected areas in the Petén, Guatemala, in: Primack, R.B., Bray, D., Galleti, H., Ponciano, I. (Eds.), Timber, tourists, and temples: conservation and development in the Maya Forest of Belize, Guatemala, and Mexico. Island Press, Washington, D.C., p. 426 p.</w:t>
      </w:r>
    </w:p>
    <w:p w:rsidR="00B00893" w:rsidRPr="00E318C5" w:rsidRDefault="00B00893" w:rsidP="00E318C5">
      <w:pPr>
        <w:pStyle w:val="EndNoteBibliography"/>
        <w:rPr>
          <w:noProof/>
        </w:rPr>
      </w:pPr>
      <w:r w:rsidRPr="00E318C5">
        <w:rPr>
          <w:noProof/>
        </w:rPr>
        <w:t>Porter-Bolland, L., Ellis, E.A., Guariguata, M.R., Ruiz-Mallén, I., Negrete-Yankelevich, S., Reyes-García, V. (2012) Community managed forests and forest protected areas: An assessment of their conservation effectiveness across the tropics. Forest Ecology and Management 268, 6-17.</w:t>
      </w:r>
    </w:p>
    <w:p w:rsidR="00B00893" w:rsidRPr="00E318C5" w:rsidRDefault="00B00893" w:rsidP="00E318C5">
      <w:pPr>
        <w:pStyle w:val="EndNoteBibliography"/>
        <w:rPr>
          <w:noProof/>
        </w:rPr>
      </w:pPr>
      <w:r w:rsidRPr="00E318C5">
        <w:rPr>
          <w:noProof/>
        </w:rPr>
        <w:t>Poteete, A.R., Janssen, M., Ostrom, E. (2010) Working together : collective action, the commons, and multiple methods in practice. Princeton University Press, Princeton, N.J.</w:t>
      </w:r>
    </w:p>
    <w:p w:rsidR="00B00893" w:rsidRPr="00E318C5" w:rsidRDefault="00B00893" w:rsidP="00E318C5">
      <w:pPr>
        <w:pStyle w:val="EndNoteBibliography"/>
        <w:rPr>
          <w:noProof/>
        </w:rPr>
      </w:pPr>
      <w:r w:rsidRPr="00E318C5">
        <w:rPr>
          <w:noProof/>
        </w:rPr>
        <w:t>Primack, R.B., Bray, D., Galleti, H., Ponciano, I. (1997) Timber, tourists, and temples: conservation and development in the Maya Forest of Belize, Guatemala, and Mexico. Island Press, Washington, D.C.</w:t>
      </w:r>
    </w:p>
    <w:p w:rsidR="00B00893" w:rsidRPr="00E318C5" w:rsidRDefault="00B00893" w:rsidP="00E318C5">
      <w:pPr>
        <w:pStyle w:val="EndNoteBibliography"/>
        <w:rPr>
          <w:noProof/>
        </w:rPr>
      </w:pPr>
      <w:r w:rsidRPr="00E318C5">
        <w:rPr>
          <w:noProof/>
        </w:rPr>
        <w:t>Radachowsky, J., Ramos, V.H., McNab, R., Baur, E.H., Kazakov, N. (2012) Forest concessions in the Maya Biosphere Reserve, Guatemala: A decade later. Forest Ecology and Management 268, 18-28.</w:t>
      </w:r>
    </w:p>
    <w:p w:rsidR="00B00893" w:rsidRPr="00E318C5" w:rsidRDefault="00B00893" w:rsidP="00E318C5">
      <w:pPr>
        <w:pStyle w:val="EndNoteBibliography"/>
        <w:rPr>
          <w:noProof/>
        </w:rPr>
      </w:pPr>
      <w:r w:rsidRPr="00E318C5">
        <w:rPr>
          <w:noProof/>
        </w:rPr>
        <w:lastRenderedPageBreak/>
        <w:t>Rodriguez Solórzano, C. (2014) Unintended outcomes of farmers' adaptation to climate variability: deforestation and conservation in Calakmul and Maya biosphere reserves. Ecology and Society 19.</w:t>
      </w:r>
    </w:p>
    <w:p w:rsidR="00B00893" w:rsidRPr="00E318C5" w:rsidRDefault="00B00893" w:rsidP="00E318C5">
      <w:pPr>
        <w:pStyle w:val="EndNoteBibliography"/>
        <w:rPr>
          <w:noProof/>
        </w:rPr>
      </w:pPr>
      <w:r w:rsidRPr="00E318C5">
        <w:rPr>
          <w:noProof/>
        </w:rPr>
        <w:t>Ruiz-Mallén, I., Corbera, E., Calvo-Boyero, D., Reyes-García, V., Brown, K. (2015) How do biosphere reserves influence local vulnerability and adaptation? Evidence from Latin America. Global Environmental Change 33, 97-108.</w:t>
      </w:r>
    </w:p>
    <w:p w:rsidR="00B00893" w:rsidRPr="00E318C5" w:rsidRDefault="00B00893" w:rsidP="00E318C5">
      <w:pPr>
        <w:pStyle w:val="EndNoteBibliography"/>
        <w:rPr>
          <w:noProof/>
        </w:rPr>
      </w:pPr>
      <w:r w:rsidRPr="00E318C5">
        <w:rPr>
          <w:noProof/>
        </w:rPr>
        <w:t>Schoon, M. (2013) Governance in Transboundary Conservation: How Institutional Structure and Path Dependence Matter. Conservation and Society 11, 420-428.</w:t>
      </w:r>
    </w:p>
    <w:p w:rsidR="00B00893" w:rsidRPr="00E318C5" w:rsidRDefault="00B00893" w:rsidP="00E318C5">
      <w:pPr>
        <w:pStyle w:val="EndNoteBibliography"/>
        <w:rPr>
          <w:noProof/>
        </w:rPr>
      </w:pPr>
      <w:r w:rsidRPr="00E318C5">
        <w:rPr>
          <w:noProof/>
        </w:rPr>
        <w:t>Schwartz, N.B. (1987) Colonization of Northern Guatemala: the Petén. Journal of Anthropological Research 43, 163-183.</w:t>
      </w:r>
    </w:p>
    <w:p w:rsidR="00B00893" w:rsidRPr="00E318C5" w:rsidRDefault="00B00893" w:rsidP="00E318C5">
      <w:pPr>
        <w:pStyle w:val="EndNoteBibliography"/>
        <w:rPr>
          <w:noProof/>
        </w:rPr>
      </w:pPr>
      <w:r w:rsidRPr="00E318C5">
        <w:rPr>
          <w:noProof/>
        </w:rPr>
        <w:t>Schwartz, N.B. (1990) Forest society: a social history of Petén, Guatemala. University of Pennsylvania Press, Philadelphia.</w:t>
      </w:r>
    </w:p>
    <w:p w:rsidR="00B00893" w:rsidRPr="00E318C5" w:rsidRDefault="00B00893" w:rsidP="00E318C5">
      <w:pPr>
        <w:pStyle w:val="EndNoteBibliography"/>
        <w:rPr>
          <w:noProof/>
        </w:rPr>
      </w:pPr>
      <w:r w:rsidRPr="00E318C5">
        <w:rPr>
          <w:noProof/>
        </w:rPr>
        <w:t>Skocpol, T., Ganz, M., Munson, Z. (2000) A Nation of Organizers: The Institutional Origins of Civic Voluntarism in the United States. American Political Science Review 94, 527.</w:t>
      </w:r>
    </w:p>
    <w:p w:rsidR="00B00893" w:rsidRPr="00E318C5" w:rsidRDefault="00B00893" w:rsidP="00E318C5">
      <w:pPr>
        <w:pStyle w:val="EndNoteBibliography"/>
        <w:rPr>
          <w:noProof/>
        </w:rPr>
      </w:pPr>
      <w:r w:rsidRPr="00E318C5">
        <w:rPr>
          <w:noProof/>
        </w:rPr>
        <w:t>Steven, E.S., Beth, T., David, W., Kendra, M., Erik, N., Karina, B., Ophelia, W., Luis, R. (2017) A spatio-temporal analysis of forest loss related to cocaine trafficking in Central America. Environmental Research Letters 12, 054015.</w:t>
      </w:r>
    </w:p>
    <w:p w:rsidR="00B00893" w:rsidRPr="00E318C5" w:rsidRDefault="00B00893" w:rsidP="00E318C5">
      <w:pPr>
        <w:pStyle w:val="EndNoteBibliography"/>
        <w:rPr>
          <w:noProof/>
        </w:rPr>
      </w:pPr>
      <w:r w:rsidRPr="00E318C5">
        <w:rPr>
          <w:noProof/>
        </w:rPr>
        <w:t>Stoll-Kleemann, S., De la Vega-Leinert, A.C., Schultz, L. (2010) The role of community participation in the effectiveness of UNESCO Biosphere Reserve management: evidence and reflections from two parallel global surveys. Environmental Conservation 37, 227-238.</w:t>
      </w:r>
    </w:p>
    <w:p w:rsidR="00B00893" w:rsidRPr="00E318C5" w:rsidRDefault="00B00893" w:rsidP="00E318C5">
      <w:pPr>
        <w:pStyle w:val="EndNoteBibliography"/>
        <w:rPr>
          <w:noProof/>
        </w:rPr>
      </w:pPr>
      <w:r w:rsidRPr="00E318C5">
        <w:rPr>
          <w:noProof/>
        </w:rPr>
        <w:t>Sundberg, J. (1998) Strategies for Authenticity, Space, and Place in the Maya Biosphere Reserve, Petén, Guatemala. Yearbook. Conference of Latin Americanist Geographers 24, 85-96.</w:t>
      </w:r>
    </w:p>
    <w:p w:rsidR="00B00893" w:rsidRPr="00E318C5" w:rsidRDefault="00B00893" w:rsidP="00E318C5">
      <w:pPr>
        <w:pStyle w:val="EndNoteBibliography"/>
        <w:rPr>
          <w:noProof/>
        </w:rPr>
      </w:pPr>
      <w:r w:rsidRPr="00E318C5">
        <w:rPr>
          <w:noProof/>
        </w:rPr>
        <w:t>Sundberg, J. (2003) Conservation and democratization: constituting citizenship in the Maya Biosphere Reserve, Guatemala. Political Geography 22, 715-740.</w:t>
      </w:r>
    </w:p>
    <w:p w:rsidR="00B00893" w:rsidRPr="00E318C5" w:rsidRDefault="00B00893" w:rsidP="00E318C5">
      <w:pPr>
        <w:pStyle w:val="EndNoteBibliography"/>
        <w:rPr>
          <w:noProof/>
        </w:rPr>
      </w:pPr>
      <w:r w:rsidRPr="00E318C5">
        <w:rPr>
          <w:noProof/>
        </w:rPr>
        <w:t>Tucker, C.M. (2010) Learning on Governance in Forest Ecosystems: Lessons from Recent Research. International Journal of the Commons 4, 687-706.</w:t>
      </w:r>
    </w:p>
    <w:p w:rsidR="00B00893" w:rsidRPr="00E318C5" w:rsidRDefault="00B00893" w:rsidP="00E318C5">
      <w:pPr>
        <w:pStyle w:val="EndNoteBibliography"/>
        <w:rPr>
          <w:noProof/>
        </w:rPr>
      </w:pPr>
      <w:r w:rsidRPr="00E318C5">
        <w:rPr>
          <w:noProof/>
        </w:rPr>
        <w:t>Turner, B.L., Geoghegan, J., Lawrence, D., Radel, C., Schmook, B., Vance, C., Manson, S., Keys, E., Foster, D., Klepeis, P., Vester, H., Rogan, J., Roy Chowdhury, R., Schneider, L., Dickson, R., Ogenva-Himmelberger, Y. (2016) Land system science and the social–environmental system: the case of Southern Yucatán Peninsular Region (SYPR) project. Current Opinion in Environmental Sustainability 19, 18-29.</w:t>
      </w:r>
    </w:p>
    <w:p w:rsidR="00B00893" w:rsidRPr="00E318C5" w:rsidRDefault="00B00893" w:rsidP="00E318C5">
      <w:pPr>
        <w:pStyle w:val="EndNoteBibliography"/>
        <w:rPr>
          <w:noProof/>
        </w:rPr>
      </w:pPr>
      <w:r w:rsidRPr="00E318C5">
        <w:rPr>
          <w:noProof/>
        </w:rPr>
        <w:t>Turner, B.L., Geoghegan, J.M., Foster, D.R. (2004) Integrated land-change science and tropical deforestation in the southern Yucatán: final frontiers. Oxford University Press, Oxford ; New York.</w:t>
      </w:r>
    </w:p>
    <w:p w:rsidR="00B00893" w:rsidRPr="00E318C5" w:rsidRDefault="00B00893" w:rsidP="00E318C5">
      <w:pPr>
        <w:pStyle w:val="EndNoteBibliography"/>
        <w:rPr>
          <w:noProof/>
        </w:rPr>
      </w:pPr>
      <w:r w:rsidRPr="00E318C5">
        <w:rPr>
          <w:noProof/>
        </w:rPr>
        <w:t>Turner, B.L., Klepeis, P., Schneider, L.C., (2003) Three millennia in the southern Yucatan Peninsula: Implications for occupancy, use, and carrying capacity, The lowland Maya Area: Three Millennia at the Human-Wildland Interface, pp. 361-387.</w:t>
      </w:r>
    </w:p>
    <w:p w:rsidR="00B00893" w:rsidRPr="00E318C5" w:rsidRDefault="00B00893" w:rsidP="00E318C5">
      <w:pPr>
        <w:pStyle w:val="EndNoteBibliography"/>
        <w:rPr>
          <w:noProof/>
        </w:rPr>
      </w:pPr>
      <w:r w:rsidRPr="00E318C5">
        <w:rPr>
          <w:noProof/>
        </w:rPr>
        <w:t>Turner, B.L., Villar, S.C., Foster, D., Geoghegan, J., Keys, E., Klepeis, P., Lawrence, D., Mendoza, P.M., Manson, S., Ogneva-Himmelberger, Y., Plotkin, A.B., Salicrup, D.P., Chowdhury, R.R., Savitsky, B., Schneider, L., Schmook, B., Vance, C. (2001) Deforestation in the southern Yucatan peninsular region: an integrative approach. Forest Ecology and Management 154, 353-370.</w:t>
      </w:r>
    </w:p>
    <w:p w:rsidR="00B00893" w:rsidRPr="00E318C5" w:rsidRDefault="00B00893" w:rsidP="00E318C5">
      <w:pPr>
        <w:pStyle w:val="EndNoteBibliography"/>
        <w:rPr>
          <w:noProof/>
        </w:rPr>
      </w:pPr>
      <w:r w:rsidRPr="00E318C5">
        <w:rPr>
          <w:noProof/>
        </w:rPr>
        <w:t>Vanhala, L. (2017) Process Tracing in the Study of Environmental Politics. Global Environmental Politics 17, 88-105.</w:t>
      </w:r>
    </w:p>
    <w:p w:rsidR="00B00893" w:rsidRPr="00E318C5" w:rsidRDefault="00B00893" w:rsidP="00E318C5">
      <w:pPr>
        <w:pStyle w:val="EndNoteBibliography"/>
        <w:rPr>
          <w:noProof/>
        </w:rPr>
      </w:pPr>
      <w:r w:rsidRPr="00E318C5">
        <w:rPr>
          <w:noProof/>
        </w:rPr>
        <w:lastRenderedPageBreak/>
        <w:t>Venter, O., Fuller, R.A., Segan, D.B., Carwardine, J., Brooks, T., Butchart, S.H.M., Di Marco, M., Iwamura, T., Joseph, L., O'Grady, D., Possingham, H.P., Rondinini, C., Smith, R.J., Venter, M., Watson, J.E.M. (2014) Targeting Global Protected Area Expansion for Imperiled Biodiversity. PLOS Biology 12, e1001891.</w:t>
      </w:r>
    </w:p>
    <w:p w:rsidR="00B00893" w:rsidRPr="00E318C5" w:rsidRDefault="00B00893" w:rsidP="00E318C5">
      <w:pPr>
        <w:pStyle w:val="EndNoteBibliography"/>
        <w:rPr>
          <w:noProof/>
        </w:rPr>
      </w:pPr>
      <w:r w:rsidRPr="00E318C5">
        <w:rPr>
          <w:noProof/>
        </w:rPr>
        <w:t>Watson, J.E.M., Dudley, N., Segan, D.B., Hockings, M. (2014) The performance and potential of protected areas. Nature 515.</w:t>
      </w:r>
    </w:p>
    <w:p w:rsidR="00B00893" w:rsidRPr="00E318C5" w:rsidRDefault="00B00893" w:rsidP="00E318C5">
      <w:pPr>
        <w:pStyle w:val="EndNoteBibliography"/>
        <w:rPr>
          <w:noProof/>
        </w:rPr>
      </w:pPr>
      <w:r w:rsidRPr="00E318C5">
        <w:rPr>
          <w:noProof/>
        </w:rPr>
        <w:t>West, P., Igoe, J., Brockington, D. (2006) Parks and Peoples: The Social Impact of Protected Areas. Annual Review of Anthropology 35, 251-277.</w:t>
      </w:r>
    </w:p>
    <w:p w:rsidR="00B00893" w:rsidRPr="00E318C5" w:rsidRDefault="00B00893" w:rsidP="00E318C5">
      <w:pPr>
        <w:pStyle w:val="EndNoteBibliography"/>
        <w:rPr>
          <w:noProof/>
        </w:rPr>
      </w:pPr>
      <w:r w:rsidRPr="00E318C5">
        <w:rPr>
          <w:noProof/>
        </w:rPr>
        <w:t>Wilson, E.O. (2017) Half-earth : our planet's fight for life.</w:t>
      </w:r>
    </w:p>
    <w:p w:rsidR="00B00893" w:rsidRPr="00E318C5" w:rsidRDefault="00B00893" w:rsidP="00E318C5">
      <w:pPr>
        <w:pStyle w:val="EndNoteBibliography"/>
        <w:rPr>
          <w:noProof/>
        </w:rPr>
      </w:pPr>
      <w:r w:rsidRPr="00E318C5">
        <w:rPr>
          <w:noProof/>
        </w:rPr>
        <w:t>Wright, G.D., Andersson, K.P., Gibson, C.C., Evans, T.P. (2016) Decentralization can help reduce deforestation when user groups engage with local government. Proceedings of the National Academy of Sciences.</w:t>
      </w:r>
    </w:p>
    <w:p w:rsidR="00B00893" w:rsidRPr="00E318C5" w:rsidRDefault="00B00893" w:rsidP="00E318C5">
      <w:pPr>
        <w:pStyle w:val="EndNoteBibliography"/>
        <w:rPr>
          <w:noProof/>
        </w:rPr>
      </w:pPr>
      <w:r w:rsidRPr="00E318C5">
        <w:rPr>
          <w:noProof/>
        </w:rPr>
        <w:t>Xu, W., Xiao, Y., Zhang, J., Yang, W., Zhang, L., Hull, V., Wang, Z., Zheng, H., Liu, J., Polasky, S., Jiang, L., Xiao, Y., Shi, X., Rao, E., Lu, F., Wang, X., Daily, G.C., Ouyang, Z. (2017) Strengthening protected areas for biodiversity and ecosystem services in China. Proceedings of the National Academy of Sciences 114, 1601-1606.</w:t>
      </w:r>
    </w:p>
    <w:p w:rsidR="00B00893" w:rsidRPr="00E318C5" w:rsidRDefault="00B00893" w:rsidP="00E318C5">
      <w:pPr>
        <w:pStyle w:val="EndNoteBibliography"/>
        <w:rPr>
          <w:noProof/>
        </w:rPr>
      </w:pPr>
      <w:r w:rsidRPr="00E318C5">
        <w:rPr>
          <w:noProof/>
        </w:rPr>
        <w:t>Ybarra, M., Obando-Samos, O., Grandia, L., Schwartz, N.B., (2012) Tierra, migración y vida en Petén 1999-2009. Instituto de Estudios Agrarios y Rurales (IDEAR).</w:t>
      </w:r>
    </w:p>
    <w:p w:rsidR="00B00893" w:rsidRPr="00A9662E" w:rsidRDefault="00B00893" w:rsidP="0079623C">
      <w:pPr>
        <w:spacing w:after="120"/>
        <w:jc w:val="both"/>
        <w:rPr>
          <w:rFonts w:ascii="Times New Roman" w:hAnsi="Times New Roman" w:cs="Times New Roman"/>
        </w:rPr>
      </w:pPr>
    </w:p>
    <w:p w:rsidR="00AA1588" w:rsidRDefault="00AA1588"/>
    <w:sectPr w:rsidR="00AA1588" w:rsidSect="009D480D">
      <w:headerReference w:type="default" r:id="rId9"/>
      <w:footerReference w:type="even" r:id="rId10"/>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C91" w:rsidRDefault="00650C91">
      <w:r>
        <w:separator/>
      </w:r>
    </w:p>
  </w:endnote>
  <w:endnote w:type="continuationSeparator" w:id="0">
    <w:p w:rsidR="00650C91" w:rsidRDefault="0065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C62" w:rsidRDefault="00256C69" w:rsidP="00ED2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C62" w:rsidRDefault="00650C91" w:rsidP="00ED2F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C62" w:rsidRDefault="00256C69" w:rsidP="00ED2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80D">
      <w:rPr>
        <w:rStyle w:val="PageNumber"/>
        <w:noProof/>
      </w:rPr>
      <w:t>21</w:t>
    </w:r>
    <w:r>
      <w:rPr>
        <w:rStyle w:val="PageNumber"/>
      </w:rPr>
      <w:fldChar w:fldCharType="end"/>
    </w:r>
  </w:p>
  <w:p w:rsidR="00553C62" w:rsidRDefault="00650C91" w:rsidP="00ED2F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C91" w:rsidRDefault="00650C91">
      <w:r>
        <w:separator/>
      </w:r>
    </w:p>
  </w:footnote>
  <w:footnote w:type="continuationSeparator" w:id="0">
    <w:p w:rsidR="00650C91" w:rsidRDefault="0065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C62" w:rsidRDefault="00650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403C"/>
    <w:multiLevelType w:val="hybridMultilevel"/>
    <w:tmpl w:val="E446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0776D"/>
    <w:multiLevelType w:val="multilevel"/>
    <w:tmpl w:val="A0A68A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4864E14"/>
    <w:multiLevelType w:val="multilevel"/>
    <w:tmpl w:val="48D69A7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00893"/>
    <w:rsid w:val="00256C69"/>
    <w:rsid w:val="00650C91"/>
    <w:rsid w:val="009D480D"/>
    <w:rsid w:val="00AA1588"/>
    <w:rsid w:val="00B0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6D586-B1ED-4B4F-847D-96904C62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893"/>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893"/>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B00893"/>
    <w:pPr>
      <w:jc w:val="center"/>
    </w:pPr>
    <w:rPr>
      <w:rFonts w:ascii="Cambria" w:hAnsi="Cambria"/>
    </w:rPr>
  </w:style>
  <w:style w:type="paragraph" w:customStyle="1" w:styleId="EndNoteBibliography">
    <w:name w:val="EndNote Bibliography"/>
    <w:basedOn w:val="Normal"/>
    <w:rsid w:val="00B00893"/>
    <w:rPr>
      <w:rFonts w:ascii="Cambria" w:hAnsi="Cambria"/>
    </w:rPr>
  </w:style>
  <w:style w:type="character" w:styleId="Hyperlink">
    <w:name w:val="Hyperlink"/>
    <w:basedOn w:val="DefaultParagraphFont"/>
    <w:uiPriority w:val="99"/>
    <w:unhideWhenUsed/>
    <w:rsid w:val="00B00893"/>
    <w:rPr>
      <w:color w:val="0563C1" w:themeColor="hyperlink"/>
      <w:u w:val="single"/>
    </w:rPr>
  </w:style>
  <w:style w:type="paragraph" w:styleId="Footer">
    <w:name w:val="footer"/>
    <w:basedOn w:val="Normal"/>
    <w:link w:val="FooterChar"/>
    <w:uiPriority w:val="99"/>
    <w:unhideWhenUsed/>
    <w:rsid w:val="00B00893"/>
    <w:pPr>
      <w:tabs>
        <w:tab w:val="center" w:pos="4320"/>
        <w:tab w:val="right" w:pos="8640"/>
      </w:tabs>
    </w:pPr>
  </w:style>
  <w:style w:type="character" w:customStyle="1" w:styleId="FooterChar">
    <w:name w:val="Footer Char"/>
    <w:basedOn w:val="DefaultParagraphFont"/>
    <w:link w:val="Footer"/>
    <w:uiPriority w:val="99"/>
    <w:rsid w:val="00B00893"/>
    <w:rPr>
      <w:rFonts w:eastAsiaTheme="minorEastAsia"/>
      <w:sz w:val="24"/>
      <w:szCs w:val="24"/>
      <w:lang w:eastAsia="ja-JP"/>
    </w:rPr>
  </w:style>
  <w:style w:type="character" w:styleId="PageNumber">
    <w:name w:val="page number"/>
    <w:basedOn w:val="DefaultParagraphFont"/>
    <w:uiPriority w:val="99"/>
    <w:semiHidden/>
    <w:unhideWhenUsed/>
    <w:rsid w:val="00B00893"/>
  </w:style>
  <w:style w:type="character" w:styleId="CommentReference">
    <w:name w:val="annotation reference"/>
    <w:basedOn w:val="DefaultParagraphFont"/>
    <w:uiPriority w:val="99"/>
    <w:semiHidden/>
    <w:unhideWhenUsed/>
    <w:rsid w:val="00B00893"/>
    <w:rPr>
      <w:sz w:val="16"/>
      <w:szCs w:val="16"/>
    </w:rPr>
  </w:style>
  <w:style w:type="paragraph" w:styleId="CommentText">
    <w:name w:val="annotation text"/>
    <w:basedOn w:val="Normal"/>
    <w:link w:val="CommentTextChar"/>
    <w:uiPriority w:val="99"/>
    <w:semiHidden/>
    <w:unhideWhenUsed/>
    <w:rsid w:val="00B00893"/>
    <w:rPr>
      <w:sz w:val="20"/>
      <w:szCs w:val="20"/>
    </w:rPr>
  </w:style>
  <w:style w:type="character" w:customStyle="1" w:styleId="CommentTextChar">
    <w:name w:val="Comment Text Char"/>
    <w:basedOn w:val="DefaultParagraphFont"/>
    <w:link w:val="CommentText"/>
    <w:uiPriority w:val="99"/>
    <w:semiHidden/>
    <w:rsid w:val="00B00893"/>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00893"/>
    <w:rPr>
      <w:b/>
      <w:bCs/>
    </w:rPr>
  </w:style>
  <w:style w:type="character" w:customStyle="1" w:styleId="CommentSubjectChar">
    <w:name w:val="Comment Subject Char"/>
    <w:basedOn w:val="CommentTextChar"/>
    <w:link w:val="CommentSubject"/>
    <w:uiPriority w:val="99"/>
    <w:semiHidden/>
    <w:rsid w:val="00B00893"/>
    <w:rPr>
      <w:rFonts w:eastAsiaTheme="minorEastAsia"/>
      <w:b/>
      <w:bCs/>
      <w:sz w:val="20"/>
      <w:szCs w:val="20"/>
      <w:lang w:eastAsia="ja-JP"/>
    </w:rPr>
  </w:style>
  <w:style w:type="paragraph" w:styleId="BalloonText">
    <w:name w:val="Balloon Text"/>
    <w:basedOn w:val="Normal"/>
    <w:link w:val="BalloonTextChar"/>
    <w:uiPriority w:val="99"/>
    <w:semiHidden/>
    <w:unhideWhenUsed/>
    <w:rsid w:val="00B00893"/>
    <w:rPr>
      <w:rFonts w:ascii="Tahoma" w:hAnsi="Tahoma" w:cs="Tahoma"/>
      <w:sz w:val="16"/>
      <w:szCs w:val="16"/>
    </w:rPr>
  </w:style>
  <w:style w:type="character" w:customStyle="1" w:styleId="BalloonTextChar">
    <w:name w:val="Balloon Text Char"/>
    <w:basedOn w:val="DefaultParagraphFont"/>
    <w:link w:val="BalloonText"/>
    <w:uiPriority w:val="99"/>
    <w:semiHidden/>
    <w:rsid w:val="00B00893"/>
    <w:rPr>
      <w:rFonts w:ascii="Tahoma" w:eastAsiaTheme="minorEastAsia" w:hAnsi="Tahoma" w:cs="Tahoma"/>
      <w:sz w:val="16"/>
      <w:szCs w:val="16"/>
      <w:lang w:eastAsia="ja-JP"/>
    </w:rPr>
  </w:style>
  <w:style w:type="paragraph" w:styleId="EndnoteText">
    <w:name w:val="endnote text"/>
    <w:basedOn w:val="Normal"/>
    <w:link w:val="EndnoteTextChar"/>
    <w:uiPriority w:val="99"/>
    <w:unhideWhenUsed/>
    <w:rsid w:val="00B00893"/>
  </w:style>
  <w:style w:type="character" w:customStyle="1" w:styleId="EndnoteTextChar">
    <w:name w:val="Endnote Text Char"/>
    <w:basedOn w:val="DefaultParagraphFont"/>
    <w:link w:val="EndnoteText"/>
    <w:uiPriority w:val="99"/>
    <w:rsid w:val="00B00893"/>
    <w:rPr>
      <w:rFonts w:eastAsiaTheme="minorEastAsia"/>
      <w:sz w:val="24"/>
      <w:szCs w:val="24"/>
      <w:lang w:eastAsia="ja-JP"/>
    </w:rPr>
  </w:style>
  <w:style w:type="character" w:styleId="EndnoteReference">
    <w:name w:val="endnote reference"/>
    <w:basedOn w:val="DefaultParagraphFont"/>
    <w:uiPriority w:val="99"/>
    <w:unhideWhenUsed/>
    <w:rsid w:val="00B00893"/>
    <w:rPr>
      <w:vertAlign w:val="superscript"/>
    </w:rPr>
  </w:style>
  <w:style w:type="paragraph" w:styleId="DocumentMap">
    <w:name w:val="Document Map"/>
    <w:basedOn w:val="Normal"/>
    <w:link w:val="DocumentMapChar"/>
    <w:uiPriority w:val="99"/>
    <w:semiHidden/>
    <w:unhideWhenUsed/>
    <w:rsid w:val="00B00893"/>
    <w:rPr>
      <w:rFonts w:ascii="Times New Roman" w:hAnsi="Times New Roman" w:cs="Times New Roman"/>
    </w:rPr>
  </w:style>
  <w:style w:type="character" w:customStyle="1" w:styleId="DocumentMapChar">
    <w:name w:val="Document Map Char"/>
    <w:basedOn w:val="DefaultParagraphFont"/>
    <w:link w:val="DocumentMap"/>
    <w:uiPriority w:val="99"/>
    <w:semiHidden/>
    <w:rsid w:val="00B00893"/>
    <w:rPr>
      <w:rFonts w:ascii="Times New Roman" w:eastAsiaTheme="minorEastAsia" w:hAnsi="Times New Roman" w:cs="Times New Roman"/>
      <w:sz w:val="24"/>
      <w:szCs w:val="24"/>
      <w:lang w:eastAsia="ja-JP"/>
    </w:rPr>
  </w:style>
  <w:style w:type="character" w:styleId="LineNumber">
    <w:name w:val="line number"/>
    <w:basedOn w:val="DefaultParagraphFont"/>
    <w:uiPriority w:val="99"/>
    <w:semiHidden/>
    <w:unhideWhenUsed/>
    <w:rsid w:val="00B00893"/>
  </w:style>
  <w:style w:type="paragraph" w:styleId="Revision">
    <w:name w:val="Revision"/>
    <w:hidden/>
    <w:uiPriority w:val="99"/>
    <w:semiHidden/>
    <w:rsid w:val="00B00893"/>
    <w:pPr>
      <w:spacing w:after="0" w:line="240" w:lineRule="auto"/>
    </w:pPr>
    <w:rPr>
      <w:rFonts w:eastAsiaTheme="minorEastAsia"/>
      <w:sz w:val="24"/>
      <w:szCs w:val="24"/>
      <w:lang w:eastAsia="ja-JP"/>
    </w:rPr>
  </w:style>
  <w:style w:type="character" w:customStyle="1" w:styleId="apple-converted-space">
    <w:name w:val="apple-converted-space"/>
    <w:basedOn w:val="DefaultParagraphFont"/>
    <w:rsid w:val="00B00893"/>
  </w:style>
  <w:style w:type="character" w:styleId="Strong">
    <w:name w:val="Strong"/>
    <w:basedOn w:val="DefaultParagraphFont"/>
    <w:uiPriority w:val="22"/>
    <w:qFormat/>
    <w:rsid w:val="00B00893"/>
    <w:rPr>
      <w:b/>
      <w:bCs/>
    </w:rPr>
  </w:style>
  <w:style w:type="paragraph" w:styleId="NormalWeb">
    <w:name w:val="Normal (Web)"/>
    <w:basedOn w:val="Normal"/>
    <w:uiPriority w:val="99"/>
    <w:semiHidden/>
    <w:unhideWhenUsed/>
    <w:rsid w:val="00B00893"/>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B00893"/>
    <w:rPr>
      <w:i/>
      <w:iCs/>
    </w:rPr>
  </w:style>
  <w:style w:type="paragraph" w:styleId="ListParagraph">
    <w:name w:val="List Paragraph"/>
    <w:basedOn w:val="Normal"/>
    <w:uiPriority w:val="34"/>
    <w:qFormat/>
    <w:rsid w:val="00B00893"/>
    <w:pPr>
      <w:ind w:left="720"/>
      <w:contextualSpacing/>
    </w:pPr>
  </w:style>
  <w:style w:type="paragraph" w:styleId="Header">
    <w:name w:val="header"/>
    <w:basedOn w:val="Normal"/>
    <w:link w:val="HeaderChar"/>
    <w:uiPriority w:val="99"/>
    <w:unhideWhenUsed/>
    <w:rsid w:val="00B00893"/>
    <w:pPr>
      <w:tabs>
        <w:tab w:val="center" w:pos="4680"/>
        <w:tab w:val="right" w:pos="9360"/>
      </w:tabs>
    </w:pPr>
  </w:style>
  <w:style w:type="character" w:customStyle="1" w:styleId="HeaderChar">
    <w:name w:val="Header Char"/>
    <w:basedOn w:val="DefaultParagraphFont"/>
    <w:link w:val="Header"/>
    <w:uiPriority w:val="99"/>
    <w:rsid w:val="00B00893"/>
    <w:rPr>
      <w:rFonts w:eastAsiaTheme="minorEastAsia"/>
      <w:sz w:val="24"/>
      <w:szCs w:val="24"/>
      <w:lang w:eastAsia="ja-JP"/>
    </w:rPr>
  </w:style>
  <w:style w:type="character" w:customStyle="1" w:styleId="UnresolvedMention1">
    <w:name w:val="Unresolved Mention1"/>
    <w:basedOn w:val="DefaultParagraphFont"/>
    <w:uiPriority w:val="99"/>
    <w:semiHidden/>
    <w:unhideWhenUsed/>
    <w:rsid w:val="00B00893"/>
    <w:rPr>
      <w:color w:val="808080"/>
      <w:shd w:val="clear" w:color="auto" w:fill="E6E6E6"/>
    </w:rPr>
  </w:style>
  <w:style w:type="character" w:customStyle="1" w:styleId="UnresolvedMention2">
    <w:name w:val="Unresolved Mention2"/>
    <w:basedOn w:val="DefaultParagraphFont"/>
    <w:uiPriority w:val="99"/>
    <w:semiHidden/>
    <w:unhideWhenUsed/>
    <w:rsid w:val="00B008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F76F1-2939-418F-9B77-DCCE06B9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12498</Words>
  <Characters>71241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Fleischman</dc:creator>
  <cp:keywords/>
  <dc:description/>
  <cp:lastModifiedBy>Forrest Fleischman</cp:lastModifiedBy>
  <cp:revision>3</cp:revision>
  <dcterms:created xsi:type="dcterms:W3CDTF">2018-02-13T20:56:00Z</dcterms:created>
  <dcterms:modified xsi:type="dcterms:W3CDTF">2018-02-20T21:14:00Z</dcterms:modified>
</cp:coreProperties>
</file>